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B4E" w:rsidRPr="00311838" w:rsidRDefault="003C3B4E" w:rsidP="00D05A30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118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Supplementary Data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1</w:t>
      </w:r>
    </w:p>
    <w:p w:rsidR="003C3B4E" w:rsidRPr="00311838" w:rsidRDefault="003C3B4E" w:rsidP="000A1BCF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118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Materials and methods</w:t>
      </w:r>
    </w:p>
    <w:p w:rsidR="003C3B4E" w:rsidRPr="00311838" w:rsidRDefault="003C3B4E" w:rsidP="00573A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118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Genotyping of antioxidant gene polymorphisms</w:t>
      </w:r>
    </w:p>
    <w:p w:rsidR="003C3B4E" w:rsidRPr="00311838" w:rsidRDefault="003C3B4E" w:rsidP="00573A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The primer sequences for </w:t>
      </w:r>
      <w:r w:rsidRPr="0031183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GSTT1 </w:t>
      </w:r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genotyping were followed </w:t>
      </w:r>
      <w:proofErr w:type="spellStart"/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>Sprenger</w:t>
      </w:r>
      <w:proofErr w:type="spellEnd"/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al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(Sprenger et al. 2000)</w:t>
      </w:r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Genotyping was performed in a final 25 </w:t>
      </w:r>
      <w:proofErr w:type="spellStart"/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>μL</w:t>
      </w:r>
      <w:proofErr w:type="spellEnd"/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PCR reaction buffer containing 100 </w:t>
      </w:r>
      <w:proofErr w:type="spellStart"/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>ng</w:t>
      </w:r>
      <w:proofErr w:type="spellEnd"/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genomic DNA, 1.0 µM of each primer, 2X PCR enhancer (Invitrogen), 1.5 </w:t>
      </w:r>
      <w:proofErr w:type="spellStart"/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>mM</w:t>
      </w:r>
      <w:proofErr w:type="spellEnd"/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MgCl</w:t>
      </w:r>
      <w:r w:rsidRPr="0031183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0.20 </w:t>
      </w:r>
      <w:proofErr w:type="spellStart"/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>mM</w:t>
      </w:r>
      <w:proofErr w:type="spellEnd"/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each </w:t>
      </w:r>
      <w:proofErr w:type="spellStart"/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>dNTP</w:t>
      </w:r>
      <w:proofErr w:type="spellEnd"/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0.5 unit of </w:t>
      </w:r>
      <w:proofErr w:type="spellStart"/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>Taq</w:t>
      </w:r>
      <w:proofErr w:type="spellEnd"/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DNA polymerase (Invitrogen). PCR reaction was performed with a 94°C initial denaturation step for 4.30 minutes,  then followed by 30 cycles of [94°C denaturation (30 second), 65°C annealing (30 second), and 72°C extension reaction (90 second)], and  a final step of 72°C for 7 minutes. The amplified products were size-separated on 2.0% </w:t>
      </w:r>
      <w:proofErr w:type="spellStart"/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>agarose</w:t>
      </w:r>
      <w:proofErr w:type="spellEnd"/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gel electrophoresis. Genotyping was based on size-specific PCR bands. The PCR product of 1,460 bps was interpreted as </w:t>
      </w:r>
      <w:r w:rsidRPr="0031183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GSTT1</w:t>
      </w:r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null (-) allele, whereas the 466 bps product indicated </w:t>
      </w:r>
      <w:r w:rsidRPr="0031183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GSTT1</w:t>
      </w:r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presented (+) allele.</w:t>
      </w:r>
    </w:p>
    <w:p w:rsidR="003C3B4E" w:rsidRPr="00311838" w:rsidRDefault="003C3B4E" w:rsidP="00573A9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PCR primers for </w:t>
      </w:r>
      <w:r w:rsidRPr="0031183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GPX3</w:t>
      </w:r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c.87+1494A&gt;G (rs3828599) were 5’- TCCCCAACTCA</w:t>
      </w:r>
      <w:r w:rsidR="00573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>GAAGGCATTTTCCA-3’</w:t>
      </w:r>
      <w:r w:rsidR="00573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>(outer forward primer), 5’-GGCATGCCC</w:t>
      </w:r>
      <w:r w:rsidR="00573A91">
        <w:rPr>
          <w:rFonts w:ascii="Times New Roman" w:hAnsi="Times New Roman" w:cs="Times New Roman"/>
          <w:color w:val="000000" w:themeColor="text1"/>
          <w:sz w:val="24"/>
          <w:szCs w:val="24"/>
        </w:rPr>
        <w:t>AGGCTTTCATTAGC</w:t>
      </w:r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73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3’ </w:t>
      </w:r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>(outer reverse prime</w:t>
      </w:r>
      <w:r w:rsidR="00573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r), </w:t>
      </w:r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5’-AGTCAGTCCCAACCTTCAGTTTTGGTAG-3’ (allele specific forward primer), and 5’-GCCCAATTGTATCTTCTTTGATCT-3’ (allele specific reverse primer). PCR was performed in a total 25 </w:t>
      </w:r>
      <w:proofErr w:type="spellStart"/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>μL</w:t>
      </w:r>
      <w:proofErr w:type="spellEnd"/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reaction buffer, consisting of 100 </w:t>
      </w:r>
      <w:proofErr w:type="spellStart"/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>ng</w:t>
      </w:r>
      <w:proofErr w:type="spellEnd"/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genomic DNA, 0.6 µM of each primer, 2.00 </w:t>
      </w:r>
      <w:proofErr w:type="spellStart"/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>mM</w:t>
      </w:r>
      <w:proofErr w:type="spellEnd"/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MgCl</w:t>
      </w:r>
      <w:r w:rsidRPr="0031183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0.20 </w:t>
      </w:r>
      <w:proofErr w:type="spellStart"/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>mM</w:t>
      </w:r>
      <w:proofErr w:type="spellEnd"/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each </w:t>
      </w:r>
      <w:proofErr w:type="spellStart"/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>dNTP</w:t>
      </w:r>
      <w:proofErr w:type="spellEnd"/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0.5 unit of </w:t>
      </w:r>
      <w:proofErr w:type="spellStart"/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>Taq</w:t>
      </w:r>
      <w:proofErr w:type="spellEnd"/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DNA polymerase (Invitrogen). The reaction cycle was  94°C initial denaturation step for 4.30 minutes,  followed by 30 cycles of [94°C denaturation (30 second), 52°C annealing (30 second), and 72°C extension reaction (30 second)], and  a final step of 72°C for 5 minutes. Genotyping was also based on the size-specific PCR bands as: AA (347 and 143 bps), AG (347, 143 and 255 bps), and GG (347 and 255 bps).</w:t>
      </w:r>
    </w:p>
    <w:p w:rsidR="003C3B4E" w:rsidRPr="00311838" w:rsidRDefault="003C3B4E" w:rsidP="00573A9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primers for </w:t>
      </w:r>
      <w:r w:rsidRPr="0031183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SOD2</w:t>
      </w:r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c.47C&gt;T (rs4880) genotyping were 5’-GTGTGCGGG</w:t>
      </w:r>
      <w:r w:rsidR="00573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TGAGAAGAAAGG-3’ (outer forward primer), 5’-ACTTCTCCTCGGTGACGTTCAGGT-3’ (outer reverse primer), 5’-AGCAGGCAGCTGGCTCCAGT-3’ (allele specific forward primer), and 5’-TGGAGCCCAGATACCCCATAG-3’ (allele specific reverse primer). The PCR reaction was carried out as described above, except for using 1X PCR enhancer and 1.50 </w:t>
      </w:r>
      <w:proofErr w:type="spellStart"/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>mM</w:t>
      </w:r>
      <w:proofErr w:type="spellEnd"/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MgCl</w:t>
      </w:r>
      <w:r w:rsidRPr="0031183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with </w:t>
      </w:r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58</w:t>
      </w:r>
      <w:r w:rsidRPr="0031183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o</w:t>
      </w:r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>C annealing temperature. The genotypes were described according to size-specific PCR bands as: TT (471 and 178 bps), TC (471, 333 and 178 bps), and CC (471 and 333 bps).</w:t>
      </w:r>
    </w:p>
    <w:p w:rsidR="003C3B4E" w:rsidRPr="00311838" w:rsidRDefault="003C3B4E" w:rsidP="00573A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The primers for </w:t>
      </w:r>
      <w:r w:rsidRPr="0031183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SOD3</w:t>
      </w:r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c.172G&gt;A (rs2536512) genotyping were 5’-TCCCGCA</w:t>
      </w:r>
      <w:r w:rsidR="00573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>GGTGCCCGACTCCAG-</w:t>
      </w:r>
      <w:smartTag w:uri="urn:schemas-microsoft-com:office:smarttags" w:element="metricconverter">
        <w:smartTagPr>
          <w:attr w:name="ProductID" w:val="3’"/>
        </w:smartTagPr>
        <w:r w:rsidRPr="0031183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3’ </w:t>
        </w:r>
      </w:smartTag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>(outer forward primer), 5’-GGCGCAAGCTGCCGGAAGAGGA-</w:t>
      </w:r>
      <w:smartTag w:uri="urn:schemas-microsoft-com:office:smarttags" w:element="metricconverter">
        <w:smartTagPr>
          <w:attr w:name="ProductID" w:val="3’"/>
        </w:smartTagPr>
        <w:r w:rsidRPr="0031183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3’ </w:t>
        </w:r>
      </w:smartTag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>(outer reverse primer), 5’-CAGCGGCGGGACGACGACGACG-</w:t>
      </w:r>
      <w:smartTag w:uri="urn:schemas-microsoft-com:office:smarttags" w:element="metricconverter">
        <w:smartTagPr>
          <w:attr w:name="ProductID" w:val="3’"/>
        </w:smartTagPr>
        <w:r w:rsidRPr="00311838">
          <w:rPr>
            <w:rFonts w:ascii="Times New Roman" w:hAnsi="Times New Roman" w:cs="Times New Roman"/>
            <w:color w:val="000000" w:themeColor="text1"/>
            <w:sz w:val="24"/>
            <w:szCs w:val="24"/>
          </w:rPr>
          <w:t>3’</w:t>
        </w:r>
      </w:smartTag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(allele specific forward primer), and 5’- CTGGCAGGCGGCGTGGAGAGT-</w:t>
      </w:r>
      <w:smartTag w:uri="urn:schemas-microsoft-com:office:smarttags" w:element="metricconverter">
        <w:smartTagPr>
          <w:attr w:name="ProductID" w:val="3’"/>
        </w:smartTagPr>
        <w:r w:rsidRPr="0031183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3’ </w:t>
        </w:r>
      </w:smartTag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(allele specific reverse primer). The PCR reaction was carried out as described above, except for using 1.0 µM of each primer, 1X PCR enhancer, and </w:t>
      </w:r>
      <w:smartTag w:uri="urn:schemas-microsoft-com:office:smarttags" w:element="metricconverter">
        <w:smartTagPr>
          <w:attr w:name="ProductID" w:val="1.75 mM"/>
        </w:smartTagPr>
        <w:r w:rsidRPr="0031183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1.75 </w:t>
        </w:r>
        <w:proofErr w:type="spellStart"/>
        <w:r w:rsidRPr="00311838">
          <w:rPr>
            <w:rFonts w:ascii="Times New Roman" w:hAnsi="Times New Roman" w:cs="Times New Roman"/>
            <w:color w:val="000000" w:themeColor="text1"/>
            <w:sz w:val="24"/>
            <w:szCs w:val="24"/>
          </w:rPr>
          <w:t>mM</w:t>
        </w:r>
      </w:smartTag>
      <w:proofErr w:type="spellEnd"/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MgCl</w:t>
      </w:r>
      <w:r w:rsidRPr="0031183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>, with 63</w:t>
      </w:r>
      <w:r w:rsidRPr="0031183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o</w:t>
      </w:r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>C annealing temperature. The genotypes were described according to size-specific PCR bands as: GG (290 and 116 bps), GA (290, 116 and 216 bps), and AA (290 and 216 bps).</w:t>
      </w:r>
    </w:p>
    <w:p w:rsidR="003C3B4E" w:rsidRPr="00311838" w:rsidRDefault="003C3B4E" w:rsidP="00573A9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primers for </w:t>
      </w:r>
      <w:r w:rsidRPr="0031183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SOD3</w:t>
      </w:r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g.9892T&gt;C (rs2855262) genotyping were 5’-GACGGCA</w:t>
      </w:r>
      <w:r w:rsidR="00573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GCCTCTGGAGGTA-3’ (outer forward primer), 5’-TCGGTACAAATGGAGGCCTTCAGA-3’ (outer reverse primer), 5’- TCCACTCTGAGGTCTCACCTTCGCGTT-3’ (allele specific forward primer), and 5’- AGGGCTGCGGGGAGACTTCAGGAG-3’ (allele specific reverse primer). The PCR reaction was carried out as described above except for 0.5 µM of each primer, 1X PCR enhancer, and 1.5 </w:t>
      </w:r>
      <w:proofErr w:type="spellStart"/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>mM</w:t>
      </w:r>
      <w:proofErr w:type="spellEnd"/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MgCl</w:t>
      </w:r>
      <w:r w:rsidRPr="0031183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>, with 60</w:t>
      </w:r>
      <w:r w:rsidRPr="0031183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o</w:t>
      </w:r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>C annealing temperature and 55 second for 72°C extension reaction. The combination of size-specific PCR products indicating genotypes were 511 and 161 bps for TT; 511, 161 and 400 bps for TC; and 511 and 400 bps for CC.</w:t>
      </w:r>
    </w:p>
    <w:p w:rsidR="003C3B4E" w:rsidRPr="00311838" w:rsidRDefault="003C3B4E" w:rsidP="00573A9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3B4E" w:rsidRPr="00311838" w:rsidRDefault="003C3B4E" w:rsidP="00573A91">
      <w:p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118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Sample size calculation</w:t>
      </w:r>
    </w:p>
    <w:p w:rsidR="003C3B4E" w:rsidRPr="00311838" w:rsidRDefault="003C3B4E" w:rsidP="00573A91">
      <w:p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Sample size calculation was performed before study completion, using statistical power of 80% and a significance level alpha of 0.05. Calculation was determined at 46.0% and 28.0% expected prevalence of </w:t>
      </w:r>
      <w:r w:rsidRPr="0031183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GSTT1</w:t>
      </w:r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>−/− in CAD cases and controls, respectively, from previous report 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Charan</w:t>
      </w:r>
      <w:proofErr w:type="spellEnd"/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and Biswas 2013; Manfredi et al. 2009)</w:t>
      </w:r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found to consist of at least 121 subjects per group. Estimation of statistical power was performed using </w:t>
      </w:r>
      <w:proofErr w:type="spellStart"/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>CaTS</w:t>
      </w:r>
      <w:proofErr w:type="spellEnd"/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power calculator: (</w:t>
      </w:r>
      <w:hyperlink r:id="rId5" w:history="1">
        <w:r w:rsidRPr="0031183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http://www.sph.umich.edu/csg/abecasis/CaTS</w:t>
        </w:r>
      </w:hyperlink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>) (as shown in Table 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2, supplementary data 3</w:t>
      </w:r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3C3B4E" w:rsidRPr="00311838" w:rsidRDefault="003C3B4E" w:rsidP="00573A91">
      <w:pPr>
        <w:pStyle w:val="a3"/>
        <w:autoSpaceDE w:val="0"/>
        <w:autoSpaceDN w:val="0"/>
        <w:adjustRightInd w:val="0"/>
        <w:spacing w:after="0" w:line="36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3B4E" w:rsidRPr="00311838" w:rsidRDefault="003C3B4E" w:rsidP="00573A91">
      <w:pPr>
        <w:pStyle w:val="a3"/>
        <w:autoSpaceDE w:val="0"/>
        <w:autoSpaceDN w:val="0"/>
        <w:adjustRightInd w:val="0"/>
        <w:spacing w:after="0" w:line="36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3B4E" w:rsidRPr="00311838" w:rsidRDefault="003C3B4E" w:rsidP="00573A91">
      <w:pPr>
        <w:pStyle w:val="a3"/>
        <w:autoSpaceDE w:val="0"/>
        <w:autoSpaceDN w:val="0"/>
        <w:adjustRightInd w:val="0"/>
        <w:spacing w:after="0" w:line="36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3C3B4E" w:rsidRPr="00311838" w:rsidSect="00573A91">
          <w:headerReference w:type="default" r:id="rId6"/>
          <w:pgSz w:w="12242" w:h="15842" w:code="1"/>
          <w:pgMar w:top="1440" w:right="1440" w:bottom="1440" w:left="1440" w:header="709" w:footer="709" w:gutter="0"/>
          <w:cols w:space="708"/>
          <w:docGrid w:linePitch="360"/>
        </w:sectPr>
      </w:pPr>
    </w:p>
    <w:p w:rsidR="00573A91" w:rsidRPr="00311838" w:rsidRDefault="00573A91" w:rsidP="00573A91">
      <w:pPr>
        <w:pStyle w:val="a3"/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118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Table S1 </w:t>
      </w:r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Comparison of </w:t>
      </w:r>
      <w:proofErr w:type="spellStart"/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>malondialdehyde</w:t>
      </w:r>
      <w:proofErr w:type="spellEnd"/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(MDA) among genotypes in each polymorphism [243 pilot community-based subjects (aged &gt;50 years) were recruited from </w:t>
      </w:r>
      <w:proofErr w:type="spellStart"/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>Khon</w:t>
      </w:r>
      <w:proofErr w:type="spellEnd"/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>Kaen</w:t>
      </w:r>
      <w:proofErr w:type="spellEnd"/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>, Thailand]</w:t>
      </w:r>
    </w:p>
    <w:p w:rsidR="00573A91" w:rsidRPr="00311838" w:rsidRDefault="00573A91" w:rsidP="00573A91">
      <w:pPr>
        <w:pStyle w:val="a3"/>
        <w:autoSpaceDE w:val="0"/>
        <w:autoSpaceDN w:val="0"/>
        <w:adjustRightInd w:val="0"/>
        <w:spacing w:after="0" w:line="360" w:lineRule="auto"/>
        <w:ind w:left="993" w:hanging="993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aa"/>
        <w:tblW w:w="13548" w:type="dxa"/>
        <w:tblLayout w:type="fixed"/>
        <w:tblLook w:val="04A0" w:firstRow="1" w:lastRow="0" w:firstColumn="1" w:lastColumn="0" w:noHBand="0" w:noVBand="1"/>
      </w:tblPr>
      <w:tblGrid>
        <w:gridCol w:w="1562"/>
        <w:gridCol w:w="1301"/>
        <w:gridCol w:w="1126"/>
        <w:gridCol w:w="1268"/>
        <w:gridCol w:w="1184"/>
        <w:gridCol w:w="1301"/>
        <w:gridCol w:w="1126"/>
        <w:gridCol w:w="1247"/>
        <w:gridCol w:w="1081"/>
        <w:gridCol w:w="1257"/>
        <w:gridCol w:w="1095"/>
      </w:tblGrid>
      <w:tr w:rsidR="00573A91" w:rsidRPr="00311838" w:rsidTr="00184B77">
        <w:tc>
          <w:tcPr>
            <w:tcW w:w="156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Parameter</w:t>
            </w:r>
          </w:p>
        </w:tc>
        <w:tc>
          <w:tcPr>
            <w:tcW w:w="24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de-DE"/>
              </w:rPr>
            </w:pPr>
            <w:r w:rsidRPr="0031183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SOD3</w:t>
            </w:r>
          </w:p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de-DE"/>
              </w:rPr>
              <w:t>rs2536512</w:t>
            </w:r>
          </w:p>
        </w:tc>
        <w:tc>
          <w:tcPr>
            <w:tcW w:w="24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de-DE"/>
              </w:rPr>
            </w:pPr>
            <w:r w:rsidRPr="0031183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SOD3</w:t>
            </w:r>
          </w:p>
          <w:p w:rsidR="00573A91" w:rsidRPr="00311838" w:rsidRDefault="00573A91" w:rsidP="00573A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de-DE"/>
              </w:rPr>
              <w:t>rs2855262</w:t>
            </w:r>
          </w:p>
        </w:tc>
        <w:tc>
          <w:tcPr>
            <w:tcW w:w="24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de-DE"/>
              </w:rPr>
            </w:pPr>
            <w:r w:rsidRPr="0031183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GPX3</w:t>
            </w:r>
          </w:p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de-DE"/>
              </w:rPr>
              <w:t>rs3828599</w:t>
            </w:r>
          </w:p>
        </w:tc>
        <w:tc>
          <w:tcPr>
            <w:tcW w:w="23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GSTT1</w:t>
            </w:r>
            <w:r w:rsidRPr="003118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gene deletion polymorphism</w:t>
            </w:r>
          </w:p>
        </w:tc>
        <w:tc>
          <w:tcPr>
            <w:tcW w:w="235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SOD2</w:t>
            </w:r>
          </w:p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rs4880</w:t>
            </w:r>
          </w:p>
        </w:tc>
      </w:tr>
      <w:tr w:rsidR="00573A91" w:rsidRPr="00311838" w:rsidTr="00184B77">
        <w:tc>
          <w:tcPr>
            <w:tcW w:w="3989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Total subjects (n=243)</w:t>
            </w:r>
          </w:p>
        </w:tc>
        <w:tc>
          <w:tcPr>
            <w:tcW w:w="245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nil"/>
              <w:right w:val="nil"/>
            </w:tcBorders>
            <w:shd w:val="clear" w:color="auto" w:fill="auto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73A91" w:rsidRPr="00311838" w:rsidTr="00184B77">
        <w:tc>
          <w:tcPr>
            <w:tcW w:w="1562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MDA (</w:t>
            </w:r>
            <w:proofErr w:type="spellStart"/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μmol</w:t>
            </w:r>
            <w:proofErr w:type="spellEnd"/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/L)</w:t>
            </w:r>
          </w:p>
        </w:tc>
        <w:tc>
          <w:tcPr>
            <w:tcW w:w="130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GG (n=85)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5.37±1.89</w:t>
            </w:r>
          </w:p>
        </w:tc>
        <w:tc>
          <w:tcPr>
            <w:tcW w:w="12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TT (n=71)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5.11±1.48</w:t>
            </w:r>
          </w:p>
        </w:tc>
        <w:tc>
          <w:tcPr>
            <w:tcW w:w="130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GG (n=93)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5.34±1.66</w:t>
            </w: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+/+ (n=46)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5.30±1.54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TT (n=131)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5.49±2.05</w:t>
            </w:r>
          </w:p>
        </w:tc>
      </w:tr>
      <w:tr w:rsidR="00573A91" w:rsidRPr="00311838" w:rsidTr="00184B77">
        <w:tc>
          <w:tcPr>
            <w:tcW w:w="1562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GA (n=130)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5.59±2.13</w:t>
            </w:r>
          </w:p>
        </w:tc>
        <w:tc>
          <w:tcPr>
            <w:tcW w:w="12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TC (n=122)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5.57±2.16</w:t>
            </w:r>
          </w:p>
        </w:tc>
        <w:tc>
          <w:tcPr>
            <w:tcW w:w="130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GA (n=104)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5.58±2.22</w:t>
            </w: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+/- (n=116)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5.62±2.27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TC (n=96)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5.56±1.96</w:t>
            </w:r>
          </w:p>
        </w:tc>
      </w:tr>
      <w:tr w:rsidR="00573A91" w:rsidRPr="00311838" w:rsidTr="00184B77">
        <w:tc>
          <w:tcPr>
            <w:tcW w:w="1562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AA (n=28)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5.51±1.80</w:t>
            </w:r>
          </w:p>
        </w:tc>
        <w:tc>
          <w:tcPr>
            <w:tcW w:w="12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CC (n=50)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5.91±2.20</w:t>
            </w:r>
          </w:p>
        </w:tc>
        <w:tc>
          <w:tcPr>
            <w:tcW w:w="130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AA (n=46)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5.66±2.15</w:t>
            </w: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-/- (n=81)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5.46±1.85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CC (n=16)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5.26±2.03</w:t>
            </w:r>
          </w:p>
        </w:tc>
      </w:tr>
      <w:tr w:rsidR="00573A91" w:rsidRPr="00311838" w:rsidTr="00184B77">
        <w:tc>
          <w:tcPr>
            <w:tcW w:w="1562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-value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0.681</w:t>
            </w:r>
          </w:p>
        </w:tc>
        <w:tc>
          <w:tcPr>
            <w:tcW w:w="12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-value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0.067</w:t>
            </w:r>
          </w:p>
        </w:tc>
        <w:tc>
          <w:tcPr>
            <w:tcW w:w="130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-value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0.686</w:t>
            </w: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-value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0.745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-value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0.765</w:t>
            </w:r>
          </w:p>
        </w:tc>
      </w:tr>
      <w:tr w:rsidR="00573A91" w:rsidRPr="00311838" w:rsidTr="00184B77">
        <w:tc>
          <w:tcPr>
            <w:tcW w:w="1562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p </w:t>
            </w: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 trend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0.624</w:t>
            </w:r>
          </w:p>
        </w:tc>
        <w:tc>
          <w:tcPr>
            <w:tcW w:w="126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p </w:t>
            </w: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 trend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0.022</w:t>
            </w:r>
          </w:p>
        </w:tc>
        <w:tc>
          <w:tcPr>
            <w:tcW w:w="130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p </w:t>
            </w: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 trend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0.412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p </w:t>
            </w: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 trend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p </w:t>
            </w: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 trend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0.564</w:t>
            </w:r>
          </w:p>
        </w:tc>
      </w:tr>
      <w:tr w:rsidR="00573A91" w:rsidRPr="00311838" w:rsidTr="00184B77">
        <w:tc>
          <w:tcPr>
            <w:tcW w:w="3989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Non-</w:t>
            </w:r>
            <w:proofErr w:type="spellStart"/>
            <w:r w:rsidRPr="003118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MetS</w:t>
            </w:r>
            <w:proofErr w:type="spellEnd"/>
            <w:r w:rsidRPr="003118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subjects (n=149)</w:t>
            </w:r>
          </w:p>
        </w:tc>
        <w:tc>
          <w:tcPr>
            <w:tcW w:w="245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nil"/>
              <w:right w:val="nil"/>
            </w:tcBorders>
            <w:shd w:val="clear" w:color="auto" w:fill="auto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73A91" w:rsidRPr="00311838" w:rsidTr="00184B77">
        <w:trPr>
          <w:trHeight w:val="87"/>
        </w:trPr>
        <w:tc>
          <w:tcPr>
            <w:tcW w:w="1562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MDA (</w:t>
            </w:r>
            <w:proofErr w:type="spellStart"/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μmol</w:t>
            </w:r>
            <w:proofErr w:type="spellEnd"/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/L)</w:t>
            </w:r>
          </w:p>
        </w:tc>
        <w:tc>
          <w:tcPr>
            <w:tcW w:w="130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GG (n=47)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4.98±1.54</w:t>
            </w:r>
          </w:p>
        </w:tc>
        <w:tc>
          <w:tcPr>
            <w:tcW w:w="12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TT (n=39)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4.89±1.56</w:t>
            </w:r>
          </w:p>
        </w:tc>
        <w:tc>
          <w:tcPr>
            <w:tcW w:w="130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GG (n=54)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4.95±1.50</w:t>
            </w: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+/+ (n=21)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4.50±0.95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TT (n=85)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5.21±2.09</w:t>
            </w:r>
          </w:p>
        </w:tc>
      </w:tr>
      <w:tr w:rsidR="00573A91" w:rsidRPr="00311838" w:rsidTr="00184B77">
        <w:tc>
          <w:tcPr>
            <w:tcW w:w="1562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GA (n=84)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5.28±2.18</w:t>
            </w:r>
          </w:p>
        </w:tc>
        <w:tc>
          <w:tcPr>
            <w:tcW w:w="12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TC (n=81)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5.29±2.23</w:t>
            </w:r>
          </w:p>
        </w:tc>
        <w:tc>
          <w:tcPr>
            <w:tcW w:w="130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GA (n=66)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5.19±2.29</w:t>
            </w: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+/- (n=77)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5.40±2.25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TC (n=55)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5.02±1.52</w:t>
            </w:r>
          </w:p>
        </w:tc>
      </w:tr>
      <w:tr w:rsidR="00573A91" w:rsidRPr="00311838" w:rsidTr="00184B77">
        <w:tc>
          <w:tcPr>
            <w:tcW w:w="1562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AA (n=18)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4.81±0.92</w:t>
            </w:r>
          </w:p>
        </w:tc>
        <w:tc>
          <w:tcPr>
            <w:tcW w:w="12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CC (n=29)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4.99±1.04</w:t>
            </w:r>
          </w:p>
        </w:tc>
        <w:tc>
          <w:tcPr>
            <w:tcW w:w="130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AA (n=29)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5.30±1.47</w:t>
            </w: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-/- (n=51)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4.97±1.45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CC (n=9)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4.98±1.89</w:t>
            </w:r>
          </w:p>
        </w:tc>
      </w:tr>
      <w:tr w:rsidR="00573A91" w:rsidRPr="00311838" w:rsidTr="00184B77">
        <w:tc>
          <w:tcPr>
            <w:tcW w:w="1562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-value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0.626</w:t>
            </w:r>
          </w:p>
        </w:tc>
        <w:tc>
          <w:tcPr>
            <w:tcW w:w="12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-value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0.576</w:t>
            </w:r>
          </w:p>
        </w:tc>
        <w:tc>
          <w:tcPr>
            <w:tcW w:w="130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-value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0.599</w:t>
            </w: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-value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0.101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-value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0.829</w:t>
            </w:r>
          </w:p>
        </w:tc>
      </w:tr>
      <w:tr w:rsidR="00573A91" w:rsidRPr="00311838" w:rsidTr="00184B77">
        <w:tc>
          <w:tcPr>
            <w:tcW w:w="1562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p </w:t>
            </w: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 trend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0.894</w:t>
            </w:r>
          </w:p>
        </w:tc>
        <w:tc>
          <w:tcPr>
            <w:tcW w:w="126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p </w:t>
            </w: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 trend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0.558</w:t>
            </w:r>
          </w:p>
        </w:tc>
        <w:tc>
          <w:tcPr>
            <w:tcW w:w="130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p </w:t>
            </w: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 trend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0.313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p </w:t>
            </w: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 trend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0.274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p </w:t>
            </w: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 trend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0.628</w:t>
            </w:r>
          </w:p>
        </w:tc>
      </w:tr>
      <w:tr w:rsidR="00573A91" w:rsidRPr="00311838" w:rsidTr="00184B77">
        <w:tc>
          <w:tcPr>
            <w:tcW w:w="3989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118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MetS</w:t>
            </w:r>
            <w:proofErr w:type="spellEnd"/>
            <w:r w:rsidRPr="003118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subjects (n=94)</w:t>
            </w:r>
          </w:p>
        </w:tc>
        <w:tc>
          <w:tcPr>
            <w:tcW w:w="245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nil"/>
              <w:right w:val="nil"/>
            </w:tcBorders>
            <w:shd w:val="clear" w:color="auto" w:fill="auto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73A91" w:rsidRPr="00311838" w:rsidTr="00184B77">
        <w:tc>
          <w:tcPr>
            <w:tcW w:w="1562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MDA (</w:t>
            </w:r>
            <w:proofErr w:type="spellStart"/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μmol</w:t>
            </w:r>
            <w:proofErr w:type="spellEnd"/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/L)</w:t>
            </w:r>
          </w:p>
        </w:tc>
        <w:tc>
          <w:tcPr>
            <w:tcW w:w="130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GG (n=38)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5.84±2.17</w:t>
            </w:r>
          </w:p>
        </w:tc>
        <w:tc>
          <w:tcPr>
            <w:tcW w:w="12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TT (n=32)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5.37±1.36</w:t>
            </w: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0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GG (n=39)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5.88±1.73</w:t>
            </w: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+/+ (n=25)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5.96±1.63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TT (n=46)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6.02±1.88</w:t>
            </w:r>
          </w:p>
        </w:tc>
      </w:tr>
      <w:tr w:rsidR="00573A91" w:rsidRPr="00311838" w:rsidTr="00184B77">
        <w:tc>
          <w:tcPr>
            <w:tcW w:w="1562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GA (n=46)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6.18±1.93</w:t>
            </w:r>
          </w:p>
        </w:tc>
        <w:tc>
          <w:tcPr>
            <w:tcW w:w="12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TC (n=41)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6.13±1.93</w:t>
            </w:r>
          </w:p>
        </w:tc>
        <w:tc>
          <w:tcPr>
            <w:tcW w:w="130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GA (n=38)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6.26±1.95</w:t>
            </w: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+/- (n=39)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6.06±2.27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TC (n=41)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6.29±2.24</w:t>
            </w:r>
          </w:p>
        </w:tc>
      </w:tr>
      <w:tr w:rsidR="00573A91" w:rsidRPr="00311838" w:rsidTr="00184B77">
        <w:tc>
          <w:tcPr>
            <w:tcW w:w="1562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AA (n=10)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6.79±2.30</w:t>
            </w:r>
          </w:p>
        </w:tc>
        <w:tc>
          <w:tcPr>
            <w:tcW w:w="12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CC (n=21)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7.17±2.72</w:t>
            </w: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0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AA (n=17)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6.29±2.93</w:t>
            </w: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-/- (n=30)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6.28±2.16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CC (n=7)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5.63±2.29</w:t>
            </w:r>
          </w:p>
        </w:tc>
      </w:tr>
      <w:tr w:rsidR="00573A91" w:rsidRPr="00311838" w:rsidTr="00184B77">
        <w:tc>
          <w:tcPr>
            <w:tcW w:w="1562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-value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0.350</w:t>
            </w:r>
          </w:p>
        </w:tc>
        <w:tc>
          <w:tcPr>
            <w:tcW w:w="12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-value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0.009</w:t>
            </w:r>
          </w:p>
        </w:tc>
        <w:tc>
          <w:tcPr>
            <w:tcW w:w="130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-value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0.704</w:t>
            </w: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-value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0.875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-value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0.663</w:t>
            </w:r>
          </w:p>
        </w:tc>
      </w:tr>
      <w:tr w:rsidR="00573A91" w:rsidRPr="00311838" w:rsidTr="00184B77">
        <w:tc>
          <w:tcPr>
            <w:tcW w:w="1562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p </w:t>
            </w: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 trend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0.179</w:t>
            </w:r>
          </w:p>
        </w:tc>
        <w:tc>
          <w:tcPr>
            <w:tcW w:w="126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p </w:t>
            </w: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 trend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0.002</w:t>
            </w:r>
          </w:p>
        </w:tc>
        <w:tc>
          <w:tcPr>
            <w:tcW w:w="130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p </w:t>
            </w: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 trend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0.736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p </w:t>
            </w: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 trend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p </w:t>
            </w: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 trend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3A91" w:rsidRPr="00311838" w:rsidRDefault="00573A91" w:rsidP="00573A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0.557</w:t>
            </w:r>
          </w:p>
        </w:tc>
      </w:tr>
    </w:tbl>
    <w:p w:rsidR="00573A91" w:rsidRPr="00311838" w:rsidRDefault="00573A91" w:rsidP="00573A91">
      <w:pPr>
        <w:pStyle w:val="a3"/>
        <w:autoSpaceDE w:val="0"/>
        <w:autoSpaceDN w:val="0"/>
        <w:adjustRightInd w:val="0"/>
        <w:spacing w:after="0" w:line="360" w:lineRule="auto"/>
        <w:ind w:left="993" w:hanging="993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C3B4E" w:rsidRPr="00311838" w:rsidRDefault="003C3B4E" w:rsidP="00311838">
      <w:pPr>
        <w:spacing w:after="0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8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Note:</w:t>
      </w:r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>Thiobarbituric</w:t>
      </w:r>
      <w:proofErr w:type="spellEnd"/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acid (TBA) assay was used for the measurement of serum </w:t>
      </w:r>
      <w:proofErr w:type="spellStart"/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>malondialdehyde</w:t>
      </w:r>
      <w:proofErr w:type="spellEnd"/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(MDA) as an end product of lipid peroxidation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(Nielsen et al. 1997; Wong et al. 1987)</w:t>
      </w:r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1183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a</w:t>
      </w:r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183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Pr="00311838">
        <w:rPr>
          <w:rFonts w:ascii="Times New Roman" w:hAnsi="Times New Roman" w:cs="Times New Roman"/>
          <w:color w:val="000000" w:themeColor="text1"/>
          <w:sz w:val="24"/>
          <w:szCs w:val="24"/>
        </w:rPr>
        <w:t>-value=0.010</w:t>
      </w:r>
    </w:p>
    <w:p w:rsidR="003C3B4E" w:rsidRPr="00311838" w:rsidRDefault="003C3B4E" w:rsidP="0031183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sectPr w:rsidR="003C3B4E" w:rsidRPr="00311838" w:rsidSect="00AB67EF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3C3B4E" w:rsidRPr="00311838" w:rsidRDefault="003C3B4E" w:rsidP="00573A91">
      <w:p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118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References</w:t>
      </w:r>
    </w:p>
    <w:p w:rsidR="003C3B4E" w:rsidRPr="00311838" w:rsidRDefault="003C3B4E" w:rsidP="00573A91">
      <w:pPr>
        <w:spacing w:after="0"/>
        <w:ind w:left="720" w:hanging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bookmarkStart w:id="1" w:name="_ENREF_1"/>
      <w:r w:rsidRPr="0031183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Charan J, Biswas T</w:t>
      </w:r>
      <w:r w:rsidRPr="0031183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</w:t>
      </w:r>
      <w:r w:rsidRPr="0031183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2013</w:t>
      </w:r>
      <w:r w:rsidRPr="0031183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. How to calculate sample size for different study designs in medical research? </w:t>
      </w:r>
      <w:r w:rsidRPr="00311838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Indian journal of psychological medicine</w:t>
      </w:r>
      <w:r w:rsidRPr="0031183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35:121-126. doi:10.4103/0253-7176.116232</w:t>
      </w:r>
      <w:bookmarkEnd w:id="1"/>
    </w:p>
    <w:p w:rsidR="003C3B4E" w:rsidRPr="00311838" w:rsidRDefault="003C3B4E" w:rsidP="00573A91">
      <w:pPr>
        <w:spacing w:after="0"/>
        <w:ind w:left="720" w:hanging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bookmarkStart w:id="2" w:name="_ENREF_2"/>
      <w:r w:rsidRPr="0031183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Manfredi S, Calvi D, del Fiandra M, Botto N, Biagini A, Andreassi MG</w:t>
      </w:r>
      <w:r w:rsidRPr="0031183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</w:t>
      </w:r>
      <w:r w:rsidRPr="0031183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2009</w:t>
      </w:r>
      <w:r w:rsidRPr="0031183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. Glutathione S-transferase T1- and M1-null genotypes and coronary artery disease risk in patients with Type 2 diabetes mellitus. </w:t>
      </w:r>
      <w:r w:rsidRPr="00311838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 xml:space="preserve">Pharmacogenomics </w:t>
      </w:r>
      <w:r w:rsidRPr="0031183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10:29-34. doi:10.2217/14622416.10.1.29</w:t>
      </w:r>
      <w:bookmarkEnd w:id="2"/>
    </w:p>
    <w:p w:rsidR="003C3B4E" w:rsidRPr="00311838" w:rsidRDefault="003C3B4E" w:rsidP="00573A91">
      <w:pPr>
        <w:spacing w:after="0"/>
        <w:ind w:left="720" w:hanging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bookmarkStart w:id="3" w:name="_ENREF_3"/>
      <w:r w:rsidRPr="0031183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Nielsen F, Mikkelsen BB, Nielsen JB, Andersen HR, Grandjean P</w:t>
      </w:r>
      <w:r w:rsidRPr="0031183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</w:t>
      </w:r>
      <w:r w:rsidRPr="0031183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1997</w:t>
      </w:r>
      <w:r w:rsidRPr="0031183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. Plasma malondialdehyde as biomarker for oxidative stress: reference interval and effects of life-style factors. </w:t>
      </w:r>
      <w:r w:rsidRPr="00311838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Clinical Chemistry</w:t>
      </w:r>
      <w:r w:rsidRPr="0031183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43:1209-1214</w:t>
      </w:r>
      <w:bookmarkEnd w:id="3"/>
    </w:p>
    <w:p w:rsidR="003C3B4E" w:rsidRPr="00311838" w:rsidRDefault="003C3B4E" w:rsidP="00573A91">
      <w:pPr>
        <w:spacing w:after="0"/>
        <w:ind w:left="720" w:hanging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bookmarkStart w:id="4" w:name="_ENREF_4"/>
      <w:r w:rsidRPr="0031183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Sprenger R, Schlagenhaufer R, Kerb R, Bruhn C, Brockmoller J, Roots I, Brinkmann U</w:t>
      </w:r>
      <w:r w:rsidRPr="0031183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</w:t>
      </w:r>
      <w:r w:rsidRPr="0031183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2000</w:t>
      </w:r>
      <w:r w:rsidRPr="0031183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. Characterization of the glutathione S-transferase GSTT1 deletion: discrimination of all genotypes by polymerase chain reaction indicates a trimodular genotype-phenotype correlation. </w:t>
      </w:r>
      <w:r w:rsidRPr="00311838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 xml:space="preserve">Pharmacogenetics </w:t>
      </w:r>
      <w:r w:rsidRPr="0031183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10:557-565</w:t>
      </w:r>
      <w:bookmarkEnd w:id="4"/>
    </w:p>
    <w:p w:rsidR="003C3B4E" w:rsidRPr="00311838" w:rsidRDefault="003C3B4E" w:rsidP="00573A91">
      <w:pPr>
        <w:ind w:left="720" w:hanging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bookmarkStart w:id="5" w:name="_ENREF_5"/>
      <w:r w:rsidRPr="0031183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Wong SH, Knight JA, Hopfer SM, Zaharia O, Leach CN, Jr., Sunderman FW, Jr. 1987</w:t>
      </w:r>
      <w:r w:rsidRPr="0031183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. Lipoperoxides in plasma as measured by liquid-chromatographic separation of malondialdehyde-thiobarbituric acid adduct. </w:t>
      </w:r>
      <w:r w:rsidRPr="00311838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Clinical Chemistry</w:t>
      </w:r>
      <w:r w:rsidRPr="0031183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33:214-220</w:t>
      </w:r>
      <w:bookmarkEnd w:id="5"/>
    </w:p>
    <w:p w:rsidR="003C3B4E" w:rsidRPr="00311838" w:rsidRDefault="003C3B4E" w:rsidP="00573A91">
      <w:p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3C3B4E" w:rsidRPr="00311838" w:rsidRDefault="003C3B4E" w:rsidP="00311838">
      <w:pPr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1E95" w:rsidRDefault="00491E95"/>
    <w:sectPr w:rsidR="00491E95" w:rsidSect="00AB67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5621023"/>
      <w:docPartObj>
        <w:docPartGallery w:val="Page Numbers (Top of Page)"/>
        <w:docPartUnique/>
      </w:docPartObj>
    </w:sdtPr>
    <w:sdtEndPr/>
    <w:sdtContent>
      <w:p w:rsidR="003E501A" w:rsidRDefault="00573A9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73A91">
          <w:rPr>
            <w:rFonts w:cs="Calibri"/>
            <w:noProof/>
            <w:szCs w:val="22"/>
            <w:lang w:val="th-TH"/>
          </w:rPr>
          <w:t>4</w:t>
        </w:r>
        <w:r>
          <w:fldChar w:fldCharType="end"/>
        </w:r>
      </w:p>
    </w:sdtContent>
  </w:sdt>
  <w:p w:rsidR="003E501A" w:rsidRDefault="00573A91">
    <w:pPr>
      <w:pStyle w:val="a6"/>
    </w:pPr>
  </w:p>
  <w:p w:rsidR="00203275" w:rsidRDefault="00573A9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33A04"/>
    <w:multiLevelType w:val="multilevel"/>
    <w:tmpl w:val="E8CC6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3C3B4E"/>
    <w:rsid w:val="003C3B4E"/>
    <w:rsid w:val="00491E95"/>
    <w:rsid w:val="0057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A74980-2F2F-4924-9ACF-8CAB1A6F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B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  <w:rsid w:val="003C3B4E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3C3B4E"/>
  </w:style>
  <w:style w:type="paragraph" w:styleId="a3">
    <w:name w:val="List Paragraph"/>
    <w:basedOn w:val="a"/>
    <w:uiPriority w:val="34"/>
    <w:qFormat/>
    <w:rsid w:val="003C3B4E"/>
    <w:pPr>
      <w:ind w:left="720"/>
      <w:contextualSpacing/>
    </w:pPr>
    <w:rPr>
      <w:rFonts w:ascii="Calibri" w:eastAsia="Calibri" w:hAnsi="Calibri" w:cs="Cordia New"/>
    </w:rPr>
  </w:style>
  <w:style w:type="character" w:styleId="a4">
    <w:name w:val="Hyperlink"/>
    <w:basedOn w:val="a0"/>
    <w:uiPriority w:val="99"/>
    <w:unhideWhenUsed/>
    <w:rsid w:val="003C3B4E"/>
    <w:rPr>
      <w:color w:val="0563C1" w:themeColor="hyperlink"/>
      <w:u w:val="single"/>
    </w:rPr>
  </w:style>
  <w:style w:type="character" w:styleId="a5">
    <w:name w:val="line number"/>
    <w:basedOn w:val="a0"/>
    <w:uiPriority w:val="99"/>
    <w:semiHidden/>
    <w:unhideWhenUsed/>
    <w:rsid w:val="003C3B4E"/>
  </w:style>
  <w:style w:type="paragraph" w:styleId="a6">
    <w:name w:val="header"/>
    <w:basedOn w:val="a"/>
    <w:link w:val="a7"/>
    <w:uiPriority w:val="99"/>
    <w:unhideWhenUsed/>
    <w:rsid w:val="003C3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C3B4E"/>
  </w:style>
  <w:style w:type="paragraph" w:styleId="a8">
    <w:name w:val="footer"/>
    <w:basedOn w:val="a"/>
    <w:link w:val="a9"/>
    <w:uiPriority w:val="99"/>
    <w:unhideWhenUsed/>
    <w:rsid w:val="003C3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C3B4E"/>
  </w:style>
  <w:style w:type="table" w:styleId="aa">
    <w:name w:val="Table Grid"/>
    <w:basedOn w:val="a1"/>
    <w:uiPriority w:val="59"/>
    <w:rsid w:val="003C3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sph.umich.edu/csg/abecasis/Ca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User-12762</dc:creator>
  <cp:keywords/>
  <dc:description/>
  <cp:lastModifiedBy>User-12762</cp:lastModifiedBy>
  <cp:revision>2</cp:revision>
  <dcterms:created xsi:type="dcterms:W3CDTF">2019-06-08T19:14:00Z</dcterms:created>
  <dcterms:modified xsi:type="dcterms:W3CDTF">2019-06-08T19:20:00Z</dcterms:modified>
</cp:coreProperties>
</file>