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FBE75" w14:textId="25C641DF" w:rsidR="00E7210E" w:rsidRDefault="00EE5B80" w:rsidP="001D3026">
      <w:pPr>
        <w:rPr>
          <w:rFonts w:ascii="Palatino Linotype" w:hAnsi="Palatino Linotype"/>
          <w:b/>
          <w:bCs/>
          <w:sz w:val="20"/>
          <w:szCs w:val="20"/>
        </w:rPr>
      </w:pPr>
      <w:r w:rsidRPr="00D21BC8">
        <w:rPr>
          <w:rFonts w:ascii="Palatino Linotype" w:hAnsi="Palatino Linotype"/>
          <w:b/>
          <w:bCs/>
          <w:sz w:val="20"/>
          <w:szCs w:val="20"/>
        </w:rPr>
        <w:t xml:space="preserve">Supplement </w:t>
      </w:r>
      <w:r w:rsidR="004F3285">
        <w:rPr>
          <w:rFonts w:ascii="Palatino Linotype" w:hAnsi="Palatino Linotype"/>
          <w:b/>
          <w:bCs/>
          <w:sz w:val="20"/>
          <w:szCs w:val="20"/>
        </w:rPr>
        <w:t>S</w:t>
      </w:r>
      <w:r w:rsidR="001A77D1" w:rsidRPr="00D21BC8">
        <w:rPr>
          <w:rFonts w:ascii="Palatino Linotype" w:hAnsi="Palatino Linotype"/>
          <w:b/>
          <w:bCs/>
          <w:sz w:val="20"/>
          <w:szCs w:val="20"/>
        </w:rPr>
        <w:t>7</w:t>
      </w:r>
      <w:r w:rsidR="00F847A3" w:rsidRPr="00D21BC8">
        <w:rPr>
          <w:rFonts w:ascii="Palatino Linotype" w:hAnsi="Palatino Linotype"/>
          <w:b/>
          <w:bCs/>
          <w:sz w:val="20"/>
          <w:szCs w:val="20"/>
        </w:rPr>
        <w:t>.</w:t>
      </w:r>
      <w:r w:rsidR="001D3026" w:rsidRPr="00D21BC8">
        <w:rPr>
          <w:rFonts w:ascii="Palatino Linotype" w:hAnsi="Palatino Linotype"/>
          <w:b/>
          <w:bCs/>
          <w:sz w:val="20"/>
          <w:szCs w:val="20"/>
        </w:rPr>
        <w:t xml:space="preserve">  </w:t>
      </w:r>
      <w:r w:rsidR="00F035D1">
        <w:rPr>
          <w:rFonts w:ascii="Palatino Linotype" w:hAnsi="Palatino Linotype"/>
          <w:b/>
          <w:bCs/>
          <w:sz w:val="20"/>
          <w:szCs w:val="20"/>
        </w:rPr>
        <w:t xml:space="preserve">Plot of </w:t>
      </w:r>
      <w:r w:rsidR="001D3026" w:rsidRPr="00D21BC8">
        <w:rPr>
          <w:rFonts w:ascii="Palatino Linotype" w:hAnsi="Palatino Linotype"/>
          <w:b/>
          <w:bCs/>
          <w:sz w:val="20"/>
          <w:szCs w:val="20"/>
        </w:rPr>
        <w:t>Gross Primary Productivit</w:t>
      </w:r>
      <w:r w:rsidR="00E7210E" w:rsidRPr="00D21BC8">
        <w:rPr>
          <w:rFonts w:ascii="Palatino Linotype" w:hAnsi="Palatino Linotype"/>
          <w:b/>
          <w:bCs/>
          <w:sz w:val="20"/>
          <w:szCs w:val="20"/>
        </w:rPr>
        <w:t>y</w:t>
      </w:r>
      <w:r w:rsidR="00F035D1">
        <w:rPr>
          <w:rFonts w:ascii="Palatino Linotype" w:hAnsi="Palatino Linotype"/>
          <w:b/>
          <w:bCs/>
          <w:sz w:val="20"/>
          <w:szCs w:val="20"/>
        </w:rPr>
        <w:t>, Ecosystem Respiration</w:t>
      </w:r>
      <w:r w:rsidR="00805DB4" w:rsidRPr="00D21BC8">
        <w:rPr>
          <w:rFonts w:ascii="Palatino Linotype" w:hAnsi="Palatino Linotype"/>
          <w:b/>
          <w:bCs/>
          <w:sz w:val="20"/>
          <w:szCs w:val="20"/>
        </w:rPr>
        <w:t xml:space="preserve"> and Net Ecosystem Exchange</w:t>
      </w:r>
    </w:p>
    <w:p w14:paraId="1D0F114E" w14:textId="40E91EC3" w:rsidR="000146F4" w:rsidRPr="00D21BC8" w:rsidRDefault="00E7210E" w:rsidP="002E27B9">
      <w:pPr>
        <w:jc w:val="both"/>
        <w:rPr>
          <w:rFonts w:ascii="Palatino Linotype" w:hAnsi="Palatino Linotype"/>
          <w:sz w:val="20"/>
          <w:szCs w:val="20"/>
        </w:rPr>
      </w:pPr>
      <w:r w:rsidRPr="00D21BC8">
        <w:rPr>
          <w:rFonts w:ascii="Palatino Linotype" w:hAnsi="Palatino Linotype"/>
          <w:sz w:val="20"/>
          <w:szCs w:val="20"/>
        </w:rPr>
        <w:t>A plot of</w:t>
      </w:r>
      <w:r w:rsidR="000146F4" w:rsidRPr="00D21BC8">
        <w:rPr>
          <w:rFonts w:ascii="Palatino Linotype" w:hAnsi="Palatino Linotype"/>
          <w:sz w:val="20"/>
          <w:szCs w:val="20"/>
        </w:rPr>
        <w:t xml:space="preserve"> </w:t>
      </w:r>
      <w:r w:rsidR="00E375E7" w:rsidRPr="00D21BC8">
        <w:rPr>
          <w:rFonts w:ascii="Palatino Linotype" w:hAnsi="Palatino Linotype"/>
          <w:sz w:val="20"/>
          <w:szCs w:val="20"/>
        </w:rPr>
        <w:t xml:space="preserve">the </w:t>
      </w:r>
      <w:r w:rsidR="000146F4" w:rsidRPr="00D21BC8">
        <w:rPr>
          <w:rFonts w:ascii="Palatino Linotype" w:hAnsi="Palatino Linotype"/>
          <w:sz w:val="20"/>
          <w:szCs w:val="20"/>
        </w:rPr>
        <w:t>annual sums measured in the field for</w:t>
      </w:r>
      <w:r w:rsidRPr="00D21BC8">
        <w:rPr>
          <w:rFonts w:ascii="Palatino Linotype" w:hAnsi="Palatino Linotype"/>
          <w:sz w:val="20"/>
          <w:szCs w:val="20"/>
        </w:rPr>
        <w:t xml:space="preserve"> </w:t>
      </w:r>
      <w:r w:rsidR="000146F4" w:rsidRPr="00D21BC8">
        <w:rPr>
          <w:rFonts w:ascii="Palatino Linotype" w:hAnsi="Palatino Linotype"/>
          <w:sz w:val="20"/>
          <w:szCs w:val="20"/>
        </w:rPr>
        <w:t>g</w:t>
      </w:r>
      <w:r w:rsidR="00040841" w:rsidRPr="00D21BC8">
        <w:rPr>
          <w:rFonts w:ascii="Palatino Linotype" w:hAnsi="Palatino Linotype"/>
          <w:sz w:val="20"/>
          <w:szCs w:val="20"/>
        </w:rPr>
        <w:t xml:space="preserve">ross </w:t>
      </w:r>
      <w:r w:rsidR="000146F4" w:rsidRPr="00D21BC8">
        <w:rPr>
          <w:rFonts w:ascii="Palatino Linotype" w:hAnsi="Palatino Linotype"/>
          <w:sz w:val="20"/>
          <w:szCs w:val="20"/>
        </w:rPr>
        <w:t>p</w:t>
      </w:r>
      <w:r w:rsidR="00040841" w:rsidRPr="00D21BC8">
        <w:rPr>
          <w:rFonts w:ascii="Palatino Linotype" w:hAnsi="Palatino Linotype"/>
          <w:sz w:val="20"/>
          <w:szCs w:val="20"/>
        </w:rPr>
        <w:t xml:space="preserve">rimary </w:t>
      </w:r>
      <w:r w:rsidR="000146F4" w:rsidRPr="00D21BC8">
        <w:rPr>
          <w:rFonts w:ascii="Palatino Linotype" w:hAnsi="Palatino Linotype"/>
          <w:sz w:val="20"/>
          <w:szCs w:val="20"/>
        </w:rPr>
        <w:t>p</w:t>
      </w:r>
      <w:r w:rsidR="00040841" w:rsidRPr="00D21BC8">
        <w:rPr>
          <w:rFonts w:ascii="Palatino Linotype" w:hAnsi="Palatino Linotype"/>
          <w:sz w:val="20"/>
          <w:szCs w:val="20"/>
        </w:rPr>
        <w:t>roductivity (</w:t>
      </w:r>
      <w:r w:rsidRPr="00D21BC8">
        <w:rPr>
          <w:rFonts w:ascii="Palatino Linotype" w:hAnsi="Palatino Linotype"/>
          <w:sz w:val="20"/>
          <w:szCs w:val="20"/>
        </w:rPr>
        <w:t>GPP</w:t>
      </w:r>
      <w:r w:rsidR="00040841" w:rsidRPr="00D21BC8">
        <w:rPr>
          <w:rFonts w:ascii="Palatino Linotype" w:hAnsi="Palatino Linotype"/>
          <w:sz w:val="20"/>
          <w:szCs w:val="20"/>
        </w:rPr>
        <w:t>)</w:t>
      </w:r>
      <w:r w:rsidRPr="00D21BC8">
        <w:rPr>
          <w:rFonts w:ascii="Palatino Linotype" w:hAnsi="Palatino Linotype"/>
          <w:sz w:val="20"/>
          <w:szCs w:val="20"/>
        </w:rPr>
        <w:t xml:space="preserve"> versus </w:t>
      </w:r>
      <w:r w:rsidR="000146F4" w:rsidRPr="00D21BC8">
        <w:rPr>
          <w:rFonts w:ascii="Palatino Linotype" w:hAnsi="Palatino Linotype"/>
          <w:sz w:val="20"/>
          <w:szCs w:val="20"/>
        </w:rPr>
        <w:t>e</w:t>
      </w:r>
      <w:r w:rsidR="00040841" w:rsidRPr="00D21BC8">
        <w:rPr>
          <w:rFonts w:ascii="Palatino Linotype" w:hAnsi="Palatino Linotype"/>
          <w:sz w:val="20"/>
          <w:szCs w:val="20"/>
        </w:rPr>
        <w:t xml:space="preserve">cosystem </w:t>
      </w:r>
      <w:r w:rsidR="000146F4" w:rsidRPr="00D21BC8">
        <w:rPr>
          <w:rFonts w:ascii="Palatino Linotype" w:hAnsi="Palatino Linotype"/>
          <w:sz w:val="20"/>
          <w:szCs w:val="20"/>
        </w:rPr>
        <w:t>r</w:t>
      </w:r>
      <w:r w:rsidR="00040841" w:rsidRPr="00D21BC8">
        <w:rPr>
          <w:rFonts w:ascii="Palatino Linotype" w:hAnsi="Palatino Linotype"/>
          <w:sz w:val="20"/>
          <w:szCs w:val="20"/>
        </w:rPr>
        <w:t>espiration (</w:t>
      </w:r>
      <w:r w:rsidRPr="00D21BC8">
        <w:rPr>
          <w:rFonts w:ascii="Palatino Linotype" w:hAnsi="Palatino Linotype"/>
          <w:sz w:val="20"/>
          <w:szCs w:val="20"/>
        </w:rPr>
        <w:t>R</w:t>
      </w:r>
      <w:r w:rsidRPr="00D21BC8">
        <w:rPr>
          <w:rFonts w:ascii="Palatino Linotype" w:hAnsi="Palatino Linotype"/>
          <w:sz w:val="20"/>
          <w:szCs w:val="20"/>
          <w:vertAlign w:val="subscript"/>
        </w:rPr>
        <w:t>eco</w:t>
      </w:r>
      <w:r w:rsidR="00040841" w:rsidRPr="00D21BC8">
        <w:rPr>
          <w:rFonts w:ascii="Palatino Linotype" w:hAnsi="Palatino Linotype"/>
          <w:sz w:val="20"/>
          <w:szCs w:val="20"/>
        </w:rPr>
        <w:t>)</w:t>
      </w:r>
      <w:r w:rsidR="004F3285">
        <w:rPr>
          <w:rFonts w:ascii="Palatino Linotype" w:hAnsi="Palatino Linotype"/>
          <w:sz w:val="20"/>
          <w:szCs w:val="20"/>
        </w:rPr>
        <w:t xml:space="preserve"> </w:t>
      </w:r>
      <w:r w:rsidRPr="00D21BC8">
        <w:rPr>
          <w:rFonts w:ascii="Palatino Linotype" w:hAnsi="Palatino Linotype"/>
          <w:sz w:val="20"/>
          <w:szCs w:val="20"/>
        </w:rPr>
        <w:t xml:space="preserve"> </w:t>
      </w:r>
      <w:r w:rsidR="00805DB4" w:rsidRPr="00D21BC8">
        <w:rPr>
          <w:rFonts w:ascii="Palatino Linotype" w:hAnsi="Palatino Linotype"/>
          <w:sz w:val="20"/>
          <w:szCs w:val="20"/>
        </w:rPr>
        <w:t xml:space="preserve">is </w:t>
      </w:r>
      <w:r w:rsidR="00F035D1">
        <w:rPr>
          <w:rFonts w:ascii="Palatino Linotype" w:hAnsi="Palatino Linotype"/>
          <w:sz w:val="20"/>
          <w:szCs w:val="20"/>
        </w:rPr>
        <w:t>shown</w:t>
      </w:r>
      <w:r w:rsidR="00805DB4" w:rsidRPr="00D21BC8">
        <w:rPr>
          <w:rFonts w:ascii="Palatino Linotype" w:hAnsi="Palatino Linotype"/>
          <w:sz w:val="20"/>
          <w:szCs w:val="20"/>
        </w:rPr>
        <w:t xml:space="preserve"> </w:t>
      </w:r>
      <w:r w:rsidR="00957060">
        <w:rPr>
          <w:rFonts w:ascii="Palatino Linotype" w:hAnsi="Palatino Linotype"/>
          <w:sz w:val="20"/>
          <w:szCs w:val="20"/>
        </w:rPr>
        <w:t xml:space="preserve">(open circles and error bars) </w:t>
      </w:r>
      <w:r w:rsidR="00805DB4" w:rsidRPr="00D21BC8">
        <w:rPr>
          <w:rFonts w:ascii="Palatino Linotype" w:hAnsi="Palatino Linotype"/>
          <w:sz w:val="20"/>
          <w:szCs w:val="20"/>
        </w:rPr>
        <w:t xml:space="preserve">based on </w:t>
      </w:r>
      <w:r w:rsidR="00040841" w:rsidRPr="00D21BC8">
        <w:rPr>
          <w:rFonts w:ascii="Palatino Linotype" w:hAnsi="Palatino Linotype"/>
          <w:sz w:val="20"/>
          <w:szCs w:val="20"/>
        </w:rPr>
        <w:t>NEE1</w:t>
      </w:r>
      <w:r w:rsidR="00805DB4" w:rsidRPr="00D21BC8">
        <w:rPr>
          <w:rFonts w:ascii="Palatino Linotype" w:hAnsi="Palatino Linotype"/>
          <w:sz w:val="20"/>
          <w:szCs w:val="20"/>
        </w:rPr>
        <w:t xml:space="preserve"> data</w:t>
      </w:r>
      <w:r w:rsidR="00040841" w:rsidRPr="00D21BC8">
        <w:rPr>
          <w:rFonts w:ascii="Palatino Linotype" w:hAnsi="Palatino Linotype"/>
          <w:sz w:val="20"/>
          <w:szCs w:val="20"/>
        </w:rPr>
        <w:t xml:space="preserve"> </w:t>
      </w:r>
      <w:r w:rsidR="00040841" w:rsidRPr="00D21BC8">
        <w:rPr>
          <w:rFonts w:ascii="Palatino Linotype" w:hAnsi="Palatino Linotype"/>
          <w:sz w:val="20"/>
          <w:szCs w:val="20"/>
        </w:rPr>
        <w:fldChar w:fldCharType="begin" w:fldLock="1"/>
      </w:r>
      <w:r w:rsidR="000146F4" w:rsidRPr="00D21BC8">
        <w:rPr>
          <w:rFonts w:ascii="Palatino Linotype" w:hAnsi="Palatino Linotype"/>
          <w:sz w:val="20"/>
          <w:szCs w:val="20"/>
        </w:rPr>
        <w:instrText>ADDIN CSL_CITATION {"citationItems":[{"id":"ITEM-1","itemData":{"DOI":"10.1016/j.agrformet.2017.05.015","ISSN":"01681923","abstract":"As the lifetime of regional flux networks approach twenty years, there is a growing number of papers that have published long term records (5 years or more) of net carbon fluxes between ecosystems and the atmosphere. Unanswered questions from this body of work are: 1) how variable are carbon fluxes on a year to year basis?; 2) what are the biophysical factors that may cause interannual variability and/or temporal trends in carbon fluxes?; and 3) how does the biophysical control on this carbon flux variability differ by climate and ecological spaces? To address these questions, we surveyed published data from 59 sites that reported on five or more years of continuous measurements, yielding 544 site-years of data. We found that the standard deviation of the interannual variability in net ecosystem carbon exchange (162 gC m−2 y−1) is large relative to its population mean (−200 gC m−2 y−1). Broad-leaved evergreen forests and crops experienced the greatest absolute variability in interannual net carbon exchange (greater than ±300 gC m−2 y−1) and boreal evergreen forests and maritime wetlands were among the least variable (less than ±40 gC m−2 y−1). A disproportionate fraction of the yearly variability in net ecosystem exchange was associated with biophysical factors that modulated ecosystem photosynthesis rather than ecosystem respiration. Yet, there was appreciable and statistically significant covariance between ecosystem photosynthesis and respiration. Consequently, biophysical conditions that conspired to increase ecosystem photosynthesis to from one year to the next were associated with an increase in ecosystem respiration, and vice versa; on average, the year to year change in respiration was 40% as large as the year to year change in photosynthesis. The analysis also identified sets of ecosystems that are on the verge of switching from being carbon sinks to carbon sources. These include sites in the Arctic tundra, the evergreen forests in the Pacific northwest and some grasslands, where year to year changes in respiration are outpacing those in photosynthesis. While a select set of climatic and ecological factors (e.g. light, rainfall, temperature, phenology) played direct and indirect roles on this variability, their impact differed conditionally, as well as by climate and ecological spaces. For example, rainfall had both positive and negative effects. Deficient rainfall caused a physiological decline in photosynthesis in temperate and semi-arid regi…","author":[{"dropping-particle":"","family":"Baldocchi","given":"Dennis","non-dropping-particle":"","parse-names":false,"suffix":""},{"dropping-particle":"","family":"Chu","given":"Housen","non-dropping-particle":"","parse-names":false,"suffix":""},{"dropping-particle":"","family":"Reichstein","given":"Markus","non-dropping-particle":"","parse-names":false,"suffix":""}],"container-title":"Agricultural and Forest Meteorology","id":"ITEM-1","issued":{"date-parts":[["2018","2","15"]]},"page":"520-533","publisher":"Elsevier B.V.","title":"Inter-annual variability of net and gross ecosystem carbon fluxes: A review","type":"article-journal","volume":"249"},"uris":["http://www.mendeley.com/documents/?uuid=3514bdd3-44cb-3433-90e8-8c819190ae29"]}],"mendeley":{"formattedCitation":"(Baldocchi, Chu, &amp; Reichstein, 2018)","plainTextFormattedCitation":"(Baldocchi, Chu, &amp; Reichstein, 2018)","previouslyFormattedCitation":"(Baldocchi, Chu, &amp; Reichstein, 2018)"},"properties":{"noteIndex":0},"schema":"https://github.com/citation-style-language/schema/raw/master/csl-citation.json"}</w:instrText>
      </w:r>
      <w:r w:rsidR="00040841" w:rsidRPr="00D21BC8">
        <w:rPr>
          <w:rFonts w:ascii="Palatino Linotype" w:hAnsi="Palatino Linotype"/>
          <w:sz w:val="20"/>
          <w:szCs w:val="20"/>
        </w:rPr>
        <w:fldChar w:fldCharType="separate"/>
      </w:r>
      <w:r w:rsidR="00040841" w:rsidRPr="00D21BC8">
        <w:rPr>
          <w:rFonts w:ascii="Palatino Linotype" w:hAnsi="Palatino Linotype"/>
          <w:noProof/>
          <w:sz w:val="20"/>
          <w:szCs w:val="20"/>
        </w:rPr>
        <w:t>(Baldocchi, Chu, &amp; Reichstein, 2018)</w:t>
      </w:r>
      <w:r w:rsidR="00040841" w:rsidRPr="00D21BC8">
        <w:rPr>
          <w:rFonts w:ascii="Palatino Linotype" w:hAnsi="Palatino Linotype"/>
          <w:sz w:val="20"/>
          <w:szCs w:val="20"/>
        </w:rPr>
        <w:fldChar w:fldCharType="end"/>
      </w:r>
      <w:r w:rsidR="002118C3" w:rsidRPr="00D21BC8">
        <w:rPr>
          <w:rFonts w:ascii="Palatino Linotype" w:hAnsi="Palatino Linotype"/>
          <w:sz w:val="20"/>
          <w:szCs w:val="20"/>
        </w:rPr>
        <w:t xml:space="preserve"> employed for the statistical analyses reported in this study. </w:t>
      </w:r>
      <w:r w:rsidR="00F035D1">
        <w:rPr>
          <w:rFonts w:ascii="Palatino Linotype" w:hAnsi="Palatino Linotype"/>
          <w:sz w:val="20"/>
          <w:szCs w:val="20"/>
        </w:rPr>
        <w:t xml:space="preserve">The mean and standard deviation of the NEE 1 data are shown on the right axis. </w:t>
      </w:r>
      <w:r w:rsidR="002118C3" w:rsidRPr="00D21BC8">
        <w:rPr>
          <w:rFonts w:ascii="Palatino Linotype" w:hAnsi="Palatino Linotype"/>
          <w:sz w:val="20"/>
          <w:szCs w:val="20"/>
        </w:rPr>
        <w:t xml:space="preserve">The plot represents data for 59 locations with a total of </w:t>
      </w:r>
      <w:r w:rsidR="00E375E7" w:rsidRPr="00D21BC8">
        <w:rPr>
          <w:rFonts w:ascii="Palatino Linotype" w:hAnsi="Palatino Linotype"/>
          <w:sz w:val="20"/>
          <w:szCs w:val="20"/>
        </w:rPr>
        <w:t>544</w:t>
      </w:r>
      <w:r w:rsidR="002118C3" w:rsidRPr="00D21BC8">
        <w:rPr>
          <w:rFonts w:ascii="Palatino Linotype" w:hAnsi="Palatino Linotype"/>
          <w:sz w:val="20"/>
          <w:szCs w:val="20"/>
        </w:rPr>
        <w:t xml:space="preserve">  site-years for direct eddy covariance measurement of net carbon fluxes in diverse natural and managed ecosystems.</w:t>
      </w:r>
      <w:r w:rsidR="005D2F62" w:rsidRPr="00D21BC8">
        <w:rPr>
          <w:rFonts w:ascii="Palatino Linotype" w:hAnsi="Palatino Linotype"/>
          <w:sz w:val="20"/>
          <w:szCs w:val="20"/>
        </w:rPr>
        <w:t xml:space="preserve"> </w:t>
      </w:r>
      <w:r w:rsidR="000146F4" w:rsidRPr="00D21BC8">
        <w:rPr>
          <w:rFonts w:ascii="Palatino Linotype" w:hAnsi="Palatino Linotype"/>
          <w:sz w:val="20"/>
          <w:szCs w:val="20"/>
        </w:rPr>
        <w:t xml:space="preserve">The reported mean and standard deviation for </w:t>
      </w:r>
      <w:r w:rsidR="00EF0CBD" w:rsidRPr="00D21BC8">
        <w:rPr>
          <w:rFonts w:ascii="Palatino Linotype" w:hAnsi="Palatino Linotype"/>
          <w:sz w:val="20"/>
          <w:szCs w:val="20"/>
        </w:rPr>
        <w:t>NEE1</w:t>
      </w:r>
      <w:r w:rsidR="000146F4" w:rsidRPr="00D21BC8">
        <w:rPr>
          <w:rFonts w:ascii="Palatino Linotype" w:hAnsi="Palatino Linotype"/>
          <w:sz w:val="20"/>
          <w:szCs w:val="20"/>
        </w:rPr>
        <w:t xml:space="preserve"> is ‒19</w:t>
      </w:r>
      <w:r w:rsidR="00EF0CBD" w:rsidRPr="00D21BC8">
        <w:rPr>
          <w:rFonts w:ascii="Palatino Linotype" w:hAnsi="Palatino Linotype"/>
          <w:sz w:val="20"/>
          <w:szCs w:val="20"/>
        </w:rPr>
        <w:t>8</w:t>
      </w:r>
      <w:r w:rsidR="000146F4" w:rsidRPr="00D21BC8">
        <w:rPr>
          <w:rFonts w:ascii="Palatino Linotype" w:hAnsi="Palatino Linotype"/>
          <w:sz w:val="20"/>
          <w:szCs w:val="20"/>
        </w:rPr>
        <w:t>.</w:t>
      </w:r>
      <w:r w:rsidR="00EF0CBD" w:rsidRPr="00D21BC8">
        <w:rPr>
          <w:rFonts w:ascii="Palatino Linotype" w:hAnsi="Palatino Linotype"/>
          <w:sz w:val="20"/>
          <w:szCs w:val="20"/>
        </w:rPr>
        <w:t>0</w:t>
      </w:r>
      <w:r w:rsidR="000146F4" w:rsidRPr="00D21BC8">
        <w:rPr>
          <w:rFonts w:ascii="Palatino Linotype" w:hAnsi="Palatino Linotype"/>
          <w:sz w:val="20"/>
          <w:szCs w:val="20"/>
        </w:rPr>
        <w:t xml:space="preserve"> ± 2</w:t>
      </w:r>
      <w:r w:rsidR="00EF0CBD" w:rsidRPr="00D21BC8">
        <w:rPr>
          <w:rFonts w:ascii="Palatino Linotype" w:hAnsi="Palatino Linotype"/>
          <w:sz w:val="20"/>
          <w:szCs w:val="20"/>
        </w:rPr>
        <w:t>61.6</w:t>
      </w:r>
      <w:r w:rsidR="000146F4" w:rsidRPr="00D21BC8">
        <w:rPr>
          <w:rFonts w:ascii="Palatino Linotype" w:hAnsi="Palatino Linotype"/>
          <w:sz w:val="20"/>
          <w:szCs w:val="20"/>
        </w:rPr>
        <w:t xml:space="preserve"> gC m</w:t>
      </w:r>
      <w:r w:rsidR="000146F4" w:rsidRPr="00D21BC8">
        <w:rPr>
          <w:rFonts w:ascii="Palatino Linotype" w:hAnsi="Palatino Linotype"/>
          <w:sz w:val="20"/>
          <w:szCs w:val="20"/>
          <w:vertAlign w:val="superscript"/>
        </w:rPr>
        <w:t>-2</w:t>
      </w:r>
      <w:r w:rsidR="000146F4" w:rsidRPr="00D21BC8">
        <w:rPr>
          <w:rFonts w:ascii="Palatino Linotype" w:hAnsi="Palatino Linotype"/>
          <w:sz w:val="20"/>
          <w:szCs w:val="20"/>
        </w:rPr>
        <w:t>yr</w:t>
      </w:r>
      <w:r w:rsidR="000146F4" w:rsidRPr="00D21BC8">
        <w:rPr>
          <w:rFonts w:ascii="Palatino Linotype" w:hAnsi="Palatino Linotype"/>
          <w:sz w:val="20"/>
          <w:szCs w:val="20"/>
          <w:vertAlign w:val="superscript"/>
        </w:rPr>
        <w:t>-1</w:t>
      </w:r>
      <w:r w:rsidR="00426C54" w:rsidRPr="00D21BC8">
        <w:rPr>
          <w:rFonts w:ascii="Palatino Linotype" w:hAnsi="Palatino Linotype"/>
          <w:sz w:val="20"/>
          <w:szCs w:val="20"/>
        </w:rPr>
        <w:t xml:space="preserve"> (r</w:t>
      </w:r>
      <w:r w:rsidR="00426C54" w:rsidRPr="00D21BC8">
        <w:rPr>
          <w:rFonts w:ascii="Palatino Linotype" w:hAnsi="Palatino Linotype"/>
          <w:sz w:val="20"/>
          <w:szCs w:val="20"/>
          <w:vertAlign w:val="superscript"/>
        </w:rPr>
        <w:t>2</w:t>
      </w:r>
      <w:r w:rsidR="00426C54" w:rsidRPr="00D21BC8">
        <w:rPr>
          <w:rFonts w:ascii="Palatino Linotype" w:hAnsi="Palatino Linotype"/>
          <w:sz w:val="20"/>
          <w:szCs w:val="20"/>
        </w:rPr>
        <w:t>= 0.907).</w:t>
      </w:r>
      <w:r w:rsidR="002E27B9" w:rsidRPr="00D21BC8">
        <w:rPr>
          <w:rFonts w:ascii="Palatino Linotype" w:hAnsi="Palatino Linotype"/>
          <w:sz w:val="20"/>
          <w:szCs w:val="20"/>
        </w:rPr>
        <w:t xml:space="preserve"> </w:t>
      </w:r>
    </w:p>
    <w:p w14:paraId="04902E44" w14:textId="0C81F74C" w:rsidR="00040841" w:rsidRPr="00D21BC8" w:rsidRDefault="00040841" w:rsidP="002E27B9">
      <w:pPr>
        <w:jc w:val="both"/>
        <w:rPr>
          <w:rFonts w:ascii="Palatino Linotype" w:hAnsi="Palatino Linotype"/>
          <w:sz w:val="20"/>
          <w:szCs w:val="20"/>
        </w:rPr>
      </w:pPr>
      <w:r w:rsidRPr="00D21BC8">
        <w:rPr>
          <w:rFonts w:ascii="Palatino Linotype" w:hAnsi="Palatino Linotype"/>
          <w:sz w:val="20"/>
          <w:szCs w:val="20"/>
        </w:rPr>
        <w:t xml:space="preserve">NEE is plotted on </w:t>
      </w:r>
      <w:r w:rsidR="00EF0CBD" w:rsidRPr="00D21BC8">
        <w:rPr>
          <w:rFonts w:ascii="Palatino Linotype" w:hAnsi="Palatino Linotype"/>
          <w:sz w:val="20"/>
          <w:szCs w:val="20"/>
        </w:rPr>
        <w:t xml:space="preserve">the right axis as the absolute value of </w:t>
      </w:r>
      <w:r w:rsidRPr="00D21BC8">
        <w:rPr>
          <w:rFonts w:ascii="Palatino Linotype" w:hAnsi="Palatino Linotype"/>
          <w:sz w:val="20"/>
          <w:szCs w:val="20"/>
        </w:rPr>
        <w:t xml:space="preserve"> NEE (open rectangle and error bars) to emphasize the </w:t>
      </w:r>
      <w:r w:rsidR="000146F4" w:rsidRPr="00D21BC8">
        <w:rPr>
          <w:rFonts w:ascii="Palatino Linotype" w:hAnsi="Palatino Linotype"/>
          <w:sz w:val="20"/>
          <w:szCs w:val="20"/>
        </w:rPr>
        <w:t xml:space="preserve">relative magnitude </w:t>
      </w:r>
      <w:r w:rsidR="00805DB4" w:rsidRPr="00D21BC8">
        <w:rPr>
          <w:rFonts w:ascii="Palatino Linotype" w:hAnsi="Palatino Linotype"/>
          <w:sz w:val="20"/>
          <w:szCs w:val="20"/>
        </w:rPr>
        <w:t>of</w:t>
      </w:r>
      <w:r w:rsidR="000146F4" w:rsidRPr="00D21BC8">
        <w:rPr>
          <w:rFonts w:ascii="Palatino Linotype" w:hAnsi="Palatino Linotype"/>
          <w:sz w:val="20"/>
          <w:szCs w:val="20"/>
        </w:rPr>
        <w:t xml:space="preserve"> terms </w:t>
      </w:r>
      <w:r w:rsidR="00805DB4" w:rsidRPr="00D21BC8">
        <w:rPr>
          <w:rFonts w:ascii="Palatino Linotype" w:hAnsi="Palatino Linotype"/>
          <w:sz w:val="20"/>
          <w:szCs w:val="20"/>
        </w:rPr>
        <w:t>for</w:t>
      </w:r>
      <w:r w:rsidR="000146F4" w:rsidRPr="00D21BC8">
        <w:rPr>
          <w:rFonts w:ascii="Palatino Linotype" w:hAnsi="Palatino Linotype"/>
          <w:sz w:val="20"/>
          <w:szCs w:val="20"/>
        </w:rPr>
        <w:t xml:space="preserve"> the equation: NEE = GPP + R</w:t>
      </w:r>
      <w:r w:rsidR="000146F4" w:rsidRPr="00D21BC8">
        <w:rPr>
          <w:rFonts w:ascii="Palatino Linotype" w:hAnsi="Palatino Linotype"/>
          <w:sz w:val="20"/>
          <w:szCs w:val="20"/>
          <w:vertAlign w:val="subscript"/>
        </w:rPr>
        <w:t>eco</w:t>
      </w:r>
      <w:r w:rsidR="000146F4" w:rsidRPr="00D21BC8">
        <w:rPr>
          <w:rFonts w:ascii="Palatino Linotype" w:hAnsi="Palatino Linotype"/>
          <w:sz w:val="20"/>
          <w:szCs w:val="20"/>
        </w:rPr>
        <w:t>. Values for NEE, GPP or R</w:t>
      </w:r>
      <w:r w:rsidR="000146F4" w:rsidRPr="00D21BC8">
        <w:rPr>
          <w:rFonts w:ascii="Palatino Linotype" w:hAnsi="Palatino Linotype"/>
          <w:sz w:val="20"/>
          <w:szCs w:val="20"/>
          <w:vertAlign w:val="subscript"/>
        </w:rPr>
        <w:t>eco</w:t>
      </w:r>
      <w:r w:rsidR="000146F4" w:rsidRPr="00D21BC8">
        <w:rPr>
          <w:rFonts w:ascii="Palatino Linotype" w:hAnsi="Palatino Linotype"/>
          <w:sz w:val="20"/>
          <w:szCs w:val="20"/>
        </w:rPr>
        <w:t xml:space="preserve"> that fall outside of the ranges presented are likely not reflective of natural or managed forests. </w:t>
      </w:r>
      <w:r w:rsidR="002E27B9" w:rsidRPr="00D21BC8">
        <w:rPr>
          <w:rFonts w:ascii="Palatino Linotype" w:hAnsi="Palatino Linotype"/>
          <w:sz w:val="20"/>
          <w:szCs w:val="20"/>
        </w:rPr>
        <w:t xml:space="preserve">The </w:t>
      </w:r>
      <w:r w:rsidR="00957060">
        <w:rPr>
          <w:rFonts w:ascii="Palatino Linotype" w:hAnsi="Palatino Linotype"/>
          <w:sz w:val="20"/>
          <w:szCs w:val="20"/>
        </w:rPr>
        <w:t xml:space="preserve">black and gray rectangle </w:t>
      </w:r>
      <w:r w:rsidR="002E27B9" w:rsidRPr="00D21BC8">
        <w:rPr>
          <w:rFonts w:ascii="Palatino Linotype" w:hAnsi="Palatino Linotype"/>
          <w:sz w:val="20"/>
          <w:szCs w:val="20"/>
        </w:rPr>
        <w:t xml:space="preserve">symbols represent the Howland Forest, Maine, USA and the Wind River, Washington State, USA, site </w:t>
      </w:r>
      <w:r w:rsidR="00EF0CBD" w:rsidRPr="00D21BC8">
        <w:rPr>
          <w:rFonts w:ascii="Palatino Linotype" w:hAnsi="Palatino Linotype"/>
          <w:sz w:val="20"/>
          <w:szCs w:val="20"/>
        </w:rPr>
        <w:t xml:space="preserve">NEE1 </w:t>
      </w:r>
      <w:r w:rsidR="002E27B9" w:rsidRPr="00D21BC8">
        <w:rPr>
          <w:rFonts w:ascii="Palatino Linotype" w:hAnsi="Palatino Linotype"/>
          <w:sz w:val="20"/>
          <w:szCs w:val="20"/>
        </w:rPr>
        <w:t>data, respectively</w:t>
      </w:r>
      <w:r w:rsidR="00EF0CBD" w:rsidRPr="00D21BC8">
        <w:rPr>
          <w:rFonts w:ascii="Palatino Linotype" w:hAnsi="Palatino Linotype"/>
          <w:sz w:val="20"/>
          <w:szCs w:val="20"/>
        </w:rPr>
        <w:t xml:space="preserve">, emphasizing overlapping </w:t>
      </w:r>
      <w:r w:rsidR="007E2FD2" w:rsidRPr="00D21BC8">
        <w:rPr>
          <w:rFonts w:ascii="Palatino Linotype" w:hAnsi="Palatino Linotype"/>
          <w:sz w:val="20"/>
          <w:szCs w:val="20"/>
        </w:rPr>
        <w:t>GPP and R</w:t>
      </w:r>
      <w:r w:rsidR="007E2FD2" w:rsidRPr="00D21BC8">
        <w:rPr>
          <w:rFonts w:ascii="Palatino Linotype" w:hAnsi="Palatino Linotype"/>
          <w:sz w:val="20"/>
          <w:szCs w:val="20"/>
          <w:vertAlign w:val="subscript"/>
        </w:rPr>
        <w:t>eco</w:t>
      </w:r>
      <w:r w:rsidR="007E2FD2" w:rsidRPr="00D21BC8">
        <w:rPr>
          <w:rFonts w:ascii="Palatino Linotype" w:hAnsi="Palatino Linotype"/>
          <w:sz w:val="20"/>
          <w:szCs w:val="20"/>
        </w:rPr>
        <w:t xml:space="preserve"> </w:t>
      </w:r>
      <w:r w:rsidR="00EF0CBD" w:rsidRPr="00D21BC8">
        <w:rPr>
          <w:rFonts w:ascii="Palatino Linotype" w:hAnsi="Palatino Linotype"/>
          <w:sz w:val="20"/>
          <w:szCs w:val="20"/>
        </w:rPr>
        <w:t>functional ranges for forests across the USA.</w:t>
      </w:r>
    </w:p>
    <w:p w14:paraId="02703744" w14:textId="248C2C45" w:rsidR="000146F4" w:rsidRPr="00D21BC8" w:rsidRDefault="000146F4" w:rsidP="002E27B9">
      <w:pPr>
        <w:jc w:val="both"/>
        <w:rPr>
          <w:rFonts w:ascii="Palatino Linotype" w:hAnsi="Palatino Linotype"/>
          <w:sz w:val="20"/>
          <w:szCs w:val="20"/>
        </w:rPr>
      </w:pPr>
      <w:r w:rsidRPr="00D21BC8">
        <w:rPr>
          <w:rFonts w:ascii="Palatino Linotype" w:hAnsi="Palatino Linotype"/>
          <w:sz w:val="20"/>
          <w:szCs w:val="20"/>
        </w:rPr>
        <w:t xml:space="preserve">An updated analysis of eddy covariance field data, NEE2 </w:t>
      </w:r>
      <w:r w:rsidRPr="00D21BC8">
        <w:rPr>
          <w:rFonts w:ascii="Palatino Linotype" w:hAnsi="Palatino Linotype"/>
          <w:sz w:val="20"/>
          <w:szCs w:val="20"/>
        </w:rPr>
        <w:fldChar w:fldCharType="begin" w:fldLock="1"/>
      </w:r>
      <w:r w:rsidRPr="00D21BC8">
        <w:rPr>
          <w:rFonts w:ascii="Palatino Linotype" w:hAnsi="Palatino Linotype"/>
          <w:sz w:val="20"/>
          <w:szCs w:val="20"/>
        </w:rPr>
        <w:instrText>ADDIN CSL_CITATION {"citationItems":[{"id":"ITEM-1","itemData":{"DOI":"10.1111/gcb.14559","ISSN":"13652486","abstract":"Reforesting and managing ecosystems have been proposed as ways to mitigate global warming and offset anthropogenic carbon emissions. The intent of our opinion piece is to provide a perspective on how well plants and ecosystems sequester carbon. The ability of individual plants and ecosystems to mine carbon dioxide from the atmosphere, as defined by rates and cumulative amounts, are limited by laws of physics and ecological principles. Consequently, the rates and amount of net carbon uptake are slow and low compared to the rates and amounts of carbon dioxide we release by fossil fuels combustion. Managing ecosystems to sequester carbon can also cause unintended consequences to arise. In this paper, we articulate a series of key take-home points. First, the potential amount of carbon an ecosystem can assimilate on an annual basis scales with absorbed sunlight, which varies with latitude, leaf area index and available water. Second, efforts to improve photosynthesis will come with the cost of more respiration. Third, the rates and amount of net carbon uptake are relatively slow and low, compared to the rates and amounts and rates of carbon dioxide we release by fossil fuels combustion. Fourth, huge amounts of land area for ecosystems will be needed to be an effective carbon sink to mitigate anthropogenic carbon emissions. Fifth, the effectiveness of using this land as a carbon sink will depend on its ability to remain as a permanent carbon sink. Sixth, converting land to forests or wetlands may have unintended costs that warm the local climate, such a changing albedo, increasing surface roughness or releasing other greenhouse gases. We based our analysis on 1163 site-years of direct eddy covariance measurements of gross and net carbon fluxes from 155 sites across the globe.","author":[{"dropping-particle":"","family":"Baldocchi","given":"Dennis","non-dropping-particle":"","parse-names":false,"suffix":""},{"dropping-particle":"","family":"Penuelas","given":"Josep","non-dropping-particle":"","parse-names":false,"suffix":""}],"container-title":"Global Change Biology","id":"ITEM-1","issue":"December 2018","issued":{"date-parts":[["2019"]]},"page":"1-7","title":"The physics and ecology of mining carbon dioxide from the atmosphere by ecosystems","type":"article-journal"},"uris":["http://www.mendeley.com/documents/?uuid=d8ba08b2-ce0f-4334-9090-f74e51bdaee7"]}],"mendeley":{"formattedCitation":"(Baldocchi &amp; Penuelas, 2019)","plainTextFormattedCitation":"(Baldocchi &amp; Penuelas, 2019)"},"properties":{"noteIndex":0},"schema":"https://github.com/citation-style-language/schema/raw/master/csl-citation.json"}</w:instrText>
      </w:r>
      <w:r w:rsidRPr="00D21BC8">
        <w:rPr>
          <w:rFonts w:ascii="Palatino Linotype" w:hAnsi="Palatino Linotype"/>
          <w:sz w:val="20"/>
          <w:szCs w:val="20"/>
        </w:rPr>
        <w:fldChar w:fldCharType="separate"/>
      </w:r>
      <w:r w:rsidRPr="00D21BC8">
        <w:rPr>
          <w:rFonts w:ascii="Palatino Linotype" w:hAnsi="Palatino Linotype"/>
          <w:noProof/>
          <w:sz w:val="20"/>
          <w:szCs w:val="20"/>
        </w:rPr>
        <w:t>(Baldocchi &amp; Penuelas, 2019)</w:t>
      </w:r>
      <w:r w:rsidRPr="00D21BC8">
        <w:rPr>
          <w:rFonts w:ascii="Palatino Linotype" w:hAnsi="Palatino Linotype"/>
          <w:sz w:val="20"/>
          <w:szCs w:val="20"/>
        </w:rPr>
        <w:fldChar w:fldCharType="end"/>
      </w:r>
      <w:r w:rsidR="00805DB4" w:rsidRPr="00D21BC8">
        <w:rPr>
          <w:rFonts w:ascii="Palatino Linotype" w:hAnsi="Palatino Linotype"/>
          <w:sz w:val="20"/>
          <w:szCs w:val="20"/>
        </w:rPr>
        <w:t xml:space="preserve">, for 155 sites representing 1,163 site years, reports NEE of </w:t>
      </w:r>
      <w:r w:rsidR="005D2F62" w:rsidRPr="00D21BC8">
        <w:rPr>
          <w:rFonts w:ascii="Calibri" w:hAnsi="Calibri"/>
          <w:sz w:val="20"/>
          <w:szCs w:val="20"/>
        </w:rPr>
        <w:t>‒</w:t>
      </w:r>
      <w:r w:rsidR="00805DB4" w:rsidRPr="00D21BC8">
        <w:rPr>
          <w:rFonts w:ascii="Palatino Linotype" w:hAnsi="Palatino Linotype"/>
          <w:sz w:val="20"/>
          <w:szCs w:val="20"/>
        </w:rPr>
        <w:t>156 ± 284 gC m</w:t>
      </w:r>
      <w:r w:rsidR="00805DB4" w:rsidRPr="00D21BC8">
        <w:rPr>
          <w:rFonts w:ascii="Palatino Linotype" w:hAnsi="Palatino Linotype"/>
          <w:sz w:val="20"/>
          <w:szCs w:val="20"/>
          <w:vertAlign w:val="superscript"/>
        </w:rPr>
        <w:t>-2</w:t>
      </w:r>
      <w:r w:rsidR="00805DB4" w:rsidRPr="00D21BC8">
        <w:rPr>
          <w:rFonts w:ascii="Palatino Linotype" w:hAnsi="Palatino Linotype"/>
          <w:sz w:val="20"/>
          <w:szCs w:val="20"/>
        </w:rPr>
        <w:t>yr</w:t>
      </w:r>
      <w:r w:rsidR="00805DB4" w:rsidRPr="00D21BC8">
        <w:rPr>
          <w:rFonts w:ascii="Palatino Linotype" w:hAnsi="Palatino Linotype"/>
          <w:sz w:val="20"/>
          <w:szCs w:val="20"/>
          <w:vertAlign w:val="superscript"/>
        </w:rPr>
        <w:t>-1</w:t>
      </w:r>
      <w:r w:rsidR="002118C3" w:rsidRPr="00D21BC8">
        <w:rPr>
          <w:rFonts w:ascii="Palatino Linotype" w:hAnsi="Palatino Linotype"/>
          <w:sz w:val="20"/>
          <w:szCs w:val="20"/>
        </w:rPr>
        <w:t xml:space="preserve"> and similar ranges for GPP and R</w:t>
      </w:r>
      <w:r w:rsidR="002118C3" w:rsidRPr="00D21BC8">
        <w:rPr>
          <w:rFonts w:ascii="Palatino Linotype" w:hAnsi="Palatino Linotype"/>
          <w:sz w:val="20"/>
          <w:szCs w:val="20"/>
          <w:vertAlign w:val="subscript"/>
        </w:rPr>
        <w:t>eco</w:t>
      </w:r>
      <w:r w:rsidR="005A2385" w:rsidRPr="00D21BC8">
        <w:rPr>
          <w:rFonts w:ascii="Palatino Linotype" w:hAnsi="Palatino Linotype"/>
          <w:sz w:val="20"/>
          <w:szCs w:val="20"/>
        </w:rPr>
        <w:t xml:space="preserve"> (r</w:t>
      </w:r>
      <w:r w:rsidR="005A2385" w:rsidRPr="00D21BC8">
        <w:rPr>
          <w:rFonts w:ascii="Palatino Linotype" w:hAnsi="Palatino Linotype"/>
          <w:sz w:val="20"/>
          <w:szCs w:val="20"/>
          <w:vertAlign w:val="superscript"/>
        </w:rPr>
        <w:t>2</w:t>
      </w:r>
      <w:r w:rsidR="005A2385" w:rsidRPr="00D21BC8">
        <w:rPr>
          <w:rFonts w:ascii="Palatino Linotype" w:hAnsi="Palatino Linotype"/>
          <w:sz w:val="20"/>
          <w:szCs w:val="20"/>
        </w:rPr>
        <w:t xml:space="preserve"> = 0.839).</w:t>
      </w:r>
      <w:r w:rsidR="00EF0CBD" w:rsidRPr="00D21BC8">
        <w:rPr>
          <w:rFonts w:ascii="Palatino Linotype" w:hAnsi="Palatino Linotype"/>
          <w:sz w:val="20"/>
          <w:szCs w:val="20"/>
        </w:rPr>
        <w:t xml:space="preserve"> NEE2 is inclusive of NEE1 data. </w:t>
      </w:r>
    </w:p>
    <w:p w14:paraId="6917BE03" w14:textId="4CBA7D34" w:rsidR="00C05C6D" w:rsidRDefault="005D2F62" w:rsidP="002E27B9">
      <w:pPr>
        <w:jc w:val="both"/>
        <w:rPr>
          <w:rFonts w:ascii="Palatino Linotype" w:hAnsi="Palatino Linotype"/>
          <w:sz w:val="20"/>
          <w:szCs w:val="20"/>
        </w:rPr>
      </w:pPr>
      <w:r w:rsidRPr="00D21BC8">
        <w:rPr>
          <w:rFonts w:ascii="Palatino Linotype" w:hAnsi="Palatino Linotype"/>
          <w:sz w:val="20"/>
          <w:szCs w:val="20"/>
        </w:rPr>
        <w:t>For comparison, the CARB-CAR population is characterized by a mean and standard deviation of ‒948.8 ±</w:t>
      </w:r>
      <w:r w:rsidR="00700A89" w:rsidRPr="00D21BC8">
        <w:rPr>
          <w:rFonts w:ascii="Palatino Linotype" w:hAnsi="Palatino Linotype"/>
          <w:sz w:val="20"/>
          <w:szCs w:val="20"/>
        </w:rPr>
        <w:t xml:space="preserve"> </w:t>
      </w:r>
      <w:r w:rsidRPr="00D21BC8">
        <w:rPr>
          <w:rFonts w:ascii="Palatino Linotype" w:hAnsi="Palatino Linotype"/>
          <w:sz w:val="20"/>
          <w:szCs w:val="20"/>
        </w:rPr>
        <w:t>1,504.8 gC m</w:t>
      </w:r>
      <w:r w:rsidRPr="00D21BC8">
        <w:rPr>
          <w:rFonts w:ascii="Palatino Linotype" w:hAnsi="Palatino Linotype"/>
          <w:sz w:val="20"/>
          <w:szCs w:val="20"/>
          <w:vertAlign w:val="superscript"/>
        </w:rPr>
        <w:t>-2</w:t>
      </w:r>
      <w:r w:rsidRPr="00D21BC8">
        <w:rPr>
          <w:rFonts w:ascii="Palatino Linotype" w:hAnsi="Palatino Linotype"/>
          <w:sz w:val="20"/>
          <w:szCs w:val="20"/>
        </w:rPr>
        <w:t>yr</w:t>
      </w:r>
      <w:r w:rsidRPr="00D21BC8">
        <w:rPr>
          <w:rFonts w:ascii="Palatino Linotype" w:hAnsi="Palatino Linotype"/>
          <w:sz w:val="20"/>
          <w:szCs w:val="20"/>
          <w:vertAlign w:val="superscript"/>
        </w:rPr>
        <w:t>-</w:t>
      </w:r>
      <w:r w:rsidR="007E2FD2" w:rsidRPr="00D21BC8">
        <w:rPr>
          <w:rFonts w:ascii="Palatino Linotype" w:hAnsi="Palatino Linotype"/>
          <w:sz w:val="20"/>
          <w:szCs w:val="20"/>
          <w:vertAlign w:val="superscript"/>
        </w:rPr>
        <w:t xml:space="preserve">1 </w:t>
      </w:r>
      <w:r w:rsidR="007E2FD2" w:rsidRPr="00D21BC8">
        <w:rPr>
          <w:rFonts w:ascii="Palatino Linotype" w:hAnsi="Palatino Linotype"/>
          <w:sz w:val="20"/>
          <w:szCs w:val="20"/>
        </w:rPr>
        <w:t>for annual net forest carbon sequestration.</w:t>
      </w:r>
    </w:p>
    <w:p w14:paraId="1E945133" w14:textId="29621453" w:rsidR="00AB6CFF" w:rsidRPr="00D21BC8" w:rsidRDefault="004A611A" w:rsidP="002E27B9">
      <w:pPr>
        <w:jc w:val="both"/>
        <w:rPr>
          <w:rFonts w:ascii="Palatino Linotype" w:hAnsi="Palatino Linotype"/>
          <w:sz w:val="20"/>
          <w:szCs w:val="20"/>
        </w:rPr>
      </w:pPr>
      <w:r>
        <w:rPr>
          <w:rFonts w:ascii="Palatino Linotype" w:hAnsi="Palatino Linotype"/>
          <w:noProof/>
          <w:sz w:val="20"/>
          <w:szCs w:val="20"/>
        </w:rPr>
        <w:drawing>
          <wp:anchor distT="0" distB="0" distL="114300" distR="114300" simplePos="0" relativeHeight="251668480" behindDoc="0" locked="0" layoutInCell="1" allowOverlap="1" wp14:anchorId="55C9E413" wp14:editId="7640B8E1">
            <wp:simplePos x="0" y="0"/>
            <wp:positionH relativeFrom="column">
              <wp:posOffset>548640</wp:posOffset>
            </wp:positionH>
            <wp:positionV relativeFrom="paragraph">
              <wp:posOffset>9525</wp:posOffset>
            </wp:positionV>
            <wp:extent cx="4354830" cy="3055620"/>
            <wp:effectExtent l="0" t="0" r="762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4830" cy="3055620"/>
                    </a:xfrm>
                    <a:prstGeom prst="rect">
                      <a:avLst/>
                    </a:prstGeom>
                    <a:noFill/>
                  </pic:spPr>
                </pic:pic>
              </a:graphicData>
            </a:graphic>
            <wp14:sizeRelH relativeFrom="margin">
              <wp14:pctWidth>0</wp14:pctWidth>
            </wp14:sizeRelH>
            <wp14:sizeRelV relativeFrom="margin">
              <wp14:pctHeight>0</wp14:pctHeight>
            </wp14:sizeRelV>
          </wp:anchor>
        </w:drawing>
      </w:r>
    </w:p>
    <w:p w14:paraId="3AA6878A" w14:textId="024C5761" w:rsidR="00C05C6D" w:rsidRDefault="00846A75" w:rsidP="00911FF9">
      <w:r>
        <w:rPr>
          <w:noProof/>
        </w:rPr>
        <mc:AlternateContent>
          <mc:Choice Requires="wps">
            <w:drawing>
              <wp:anchor distT="0" distB="0" distL="114300" distR="114300" simplePos="0" relativeHeight="251662336" behindDoc="0" locked="0" layoutInCell="1" allowOverlap="1" wp14:anchorId="4FF9104D" wp14:editId="65FECD20">
                <wp:simplePos x="0" y="0"/>
                <wp:positionH relativeFrom="margin">
                  <wp:align>left</wp:align>
                </wp:positionH>
                <wp:positionV relativeFrom="paragraph">
                  <wp:posOffset>3002915</wp:posOffset>
                </wp:positionV>
                <wp:extent cx="6212793" cy="1042586"/>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6212793" cy="1042586"/>
                        </a:xfrm>
                        <a:prstGeom prst="rect">
                          <a:avLst/>
                        </a:prstGeom>
                        <a:solidFill>
                          <a:schemeClr val="lt1"/>
                        </a:solidFill>
                        <a:ln w="6350">
                          <a:noFill/>
                        </a:ln>
                      </wps:spPr>
                      <wps:txbx>
                        <w:txbxContent>
                          <w:p w14:paraId="2F33EBEC" w14:textId="7E2074B0" w:rsidR="00E375E7" w:rsidRPr="00F035D1" w:rsidRDefault="00E375E7">
                            <w:pPr>
                              <w:rPr>
                                <w:rFonts w:ascii="Palatino Linotype" w:hAnsi="Palatino Linotype"/>
                                <w:sz w:val="20"/>
                                <w:szCs w:val="20"/>
                              </w:rPr>
                            </w:pPr>
                            <w:r w:rsidRPr="00F035D1">
                              <w:rPr>
                                <w:rFonts w:ascii="Palatino Linotype" w:hAnsi="Palatino Linotype"/>
                                <w:sz w:val="20"/>
                                <w:szCs w:val="20"/>
                              </w:rPr>
                              <w:t>Plot of GPP vs Reco</w:t>
                            </w:r>
                            <w:r w:rsidR="007E2FD2" w:rsidRPr="00F035D1">
                              <w:rPr>
                                <w:rFonts w:ascii="Palatino Linotype" w:hAnsi="Palatino Linotype"/>
                                <w:sz w:val="20"/>
                                <w:szCs w:val="20"/>
                              </w:rPr>
                              <w:t xml:space="preserve"> NEE1</w:t>
                            </w:r>
                            <w:r w:rsidR="004E13EB" w:rsidRPr="00F035D1">
                              <w:rPr>
                                <w:rFonts w:ascii="Palatino Linotype" w:hAnsi="Palatino Linotype"/>
                                <w:sz w:val="20"/>
                                <w:szCs w:val="20"/>
                              </w:rPr>
                              <w:t>, open circles</w:t>
                            </w:r>
                            <w:r w:rsidRPr="00F035D1">
                              <w:rPr>
                                <w:rFonts w:ascii="Palatino Linotype" w:hAnsi="Palatino Linotype"/>
                                <w:sz w:val="20"/>
                                <w:szCs w:val="20"/>
                              </w:rPr>
                              <w:t xml:space="preserve"> </w:t>
                            </w:r>
                            <w:r w:rsidRPr="00F035D1">
                              <w:rPr>
                                <w:rFonts w:ascii="Palatino Linotype" w:hAnsi="Palatino Linotype"/>
                                <w:sz w:val="20"/>
                                <w:szCs w:val="20"/>
                              </w:rPr>
                              <w:fldChar w:fldCharType="begin" w:fldLock="1"/>
                            </w:r>
                            <w:r w:rsidRPr="00F035D1">
                              <w:rPr>
                                <w:rFonts w:ascii="Palatino Linotype" w:hAnsi="Palatino Linotype"/>
                                <w:sz w:val="20"/>
                                <w:szCs w:val="20"/>
                              </w:rPr>
                              <w:instrText>ADDIN CSL_CITATION {"citationItems":[{"id":"ITEM-1","itemData":{"DOI":"10.1016/j.agrformet.2017.05.015","ISSN":"01681923","abstract":"As the lifetime of regional flux networks approach twenty years, there is a growing number of papers that have published long term records (5 years or more) of net carbon fluxes between ecosystems and the atmosphere. Unanswered questions from this body of work are: 1) how variable are carbon fluxes on a year to year basis?; 2) what are the biophysical factors that may cause interannual variability and/or temporal trends in carbon fluxes?; and 3) how does the biophysical control on this carbon flux variability differ by climate and ecological spaces? To address these questions, we surveyed published data from 59 sites that reported on five or more years of continuous measurements, yielding 544 site-years of data. We found that the standard deviation of the interannual variability in net ecosystem carbon exchange (162 gC m−2 y−1) is large relative to its population mean (−200 gC m−2 y−1). Broad-leaved evergreen forests and crops experienced the greatest absolute variability in interannual net carbon exchange (greater than ±300 gC m−2 y−1) and boreal evergreen forests and maritime wetlands were among the least variable (less than ±40 gC m−2 y−1). A disproportionate fraction of the yearly variability in net ecosystem exchange was associated with biophysical factors that modulated ecosystem photosynthesis rather than ecosystem respiration. Yet, there was appreciable and statistically significant covariance between ecosystem photosynthesis and respiration. Consequently, biophysical conditions that conspired to increase ecosystem photosynthesis to from one year to the next were associated with an increase in ecosystem respiration, and vice versa; on average, the year to year change in respiration was 40% as large as the year to year change in photosynthesis. The analysis also identified sets of ecosystems that are on the verge of switching from being carbon sinks to carbon sources. These include sites in the Arctic tundra, the evergreen forests in the Pacific northwest and some grasslands, where year to year changes in respiration are outpacing those in photosynthesis. While a select set of climatic and ecological factors (e.g. light, rainfall, temperature, phenology) played direct and indirect roles on this variability, their impact differed conditionally, as well as by climate and ecological spaces. For example, rainfall had both positive and negative effects. Deficient rainfall caused a physiological decline in photosynthesis in temperate and semi-arid regi…","author":[{"dropping-particle":"","family":"Baldocchi","given":"Dennis","non-dropping-particle":"","parse-names":false,"suffix":""},{"dropping-particle":"","family":"Chu","given":"Housen","non-dropping-particle":"","parse-names":false,"suffix":""},{"dropping-particle":"","family":"Reichstein","given":"Markus","non-dropping-particle":"","parse-names":false,"suffix":""}],"container-title":"Agricultural and Forest Meteorology","id":"ITEM-1","issued":{"date-parts":[["2018","2","15"]]},"page":"520-533","publisher":"Elsevier B.V.","title":"Inter-annual variability of net and gross ecosystem carbon fluxes: A review","type":"article-journal","volume":"249"},"uris":["http://www.mendeley.com/documents/?uuid=3514bdd3-44cb-3433-90e8-8c819190ae29"]}],"mendeley":{"formattedCitation":"(Baldocchi, Chu, &amp; Reichstein, 2018)","plainTextFormattedCitation":"(Baldocchi, Chu, &amp; Reichstein, 2018)","previouslyFormattedCitation":"(Baldocchi, Chu, &amp; Reichstein, 2018)"},"properties":{"noteIndex":0},"schema":"https://github.com/citation-style-language/schema/raw/master/csl-citation.json"}</w:instrText>
                            </w:r>
                            <w:r w:rsidRPr="00F035D1">
                              <w:rPr>
                                <w:rFonts w:ascii="Palatino Linotype" w:hAnsi="Palatino Linotype"/>
                                <w:sz w:val="20"/>
                                <w:szCs w:val="20"/>
                              </w:rPr>
                              <w:fldChar w:fldCharType="separate"/>
                            </w:r>
                            <w:r w:rsidRPr="00F035D1">
                              <w:rPr>
                                <w:rFonts w:ascii="Palatino Linotype" w:hAnsi="Palatino Linotype"/>
                                <w:noProof/>
                                <w:sz w:val="20"/>
                                <w:szCs w:val="20"/>
                              </w:rPr>
                              <w:t>(Baldocchi, Chu, &amp; Reichstein, 2018)</w:t>
                            </w:r>
                            <w:r w:rsidRPr="00F035D1">
                              <w:rPr>
                                <w:rFonts w:ascii="Palatino Linotype" w:hAnsi="Palatino Linotype"/>
                                <w:sz w:val="20"/>
                                <w:szCs w:val="20"/>
                              </w:rPr>
                              <w:fldChar w:fldCharType="end"/>
                            </w:r>
                            <w:r w:rsidRPr="00F035D1">
                              <w:rPr>
                                <w:rFonts w:ascii="Palatino Linotype" w:hAnsi="Palatino Linotype"/>
                                <w:sz w:val="20"/>
                                <w:szCs w:val="20"/>
                              </w:rPr>
                              <w:t>.</w:t>
                            </w:r>
                            <w:r w:rsidR="002E27B9" w:rsidRPr="00F035D1">
                              <w:rPr>
                                <w:rFonts w:ascii="Palatino Linotype" w:hAnsi="Palatino Linotype"/>
                                <w:sz w:val="20"/>
                                <w:szCs w:val="20"/>
                              </w:rPr>
                              <w:t xml:space="preserve"> </w:t>
                            </w:r>
                            <w:r w:rsidR="007E2FD2" w:rsidRPr="00F035D1">
                              <w:rPr>
                                <w:rFonts w:ascii="Palatino Linotype" w:hAnsi="Palatino Linotype"/>
                                <w:sz w:val="20"/>
                                <w:szCs w:val="20"/>
                              </w:rPr>
                              <w:t>A</w:t>
                            </w:r>
                            <w:r w:rsidR="002E27B9" w:rsidRPr="00F035D1">
                              <w:rPr>
                                <w:rFonts w:ascii="Palatino Linotype" w:hAnsi="Palatino Linotype"/>
                                <w:sz w:val="20"/>
                                <w:szCs w:val="20"/>
                              </w:rPr>
                              <w:t>bsolute value of mean and SD</w:t>
                            </w:r>
                            <w:r w:rsidR="007E2FD2" w:rsidRPr="00F035D1">
                              <w:rPr>
                                <w:rFonts w:ascii="Palatino Linotype" w:hAnsi="Palatino Linotype"/>
                                <w:sz w:val="20"/>
                                <w:szCs w:val="20"/>
                              </w:rPr>
                              <w:t xml:space="preserve"> for NEE1 are shown on the r</w:t>
                            </w:r>
                            <w:r w:rsidR="002E27B9" w:rsidRPr="00F035D1">
                              <w:rPr>
                                <w:rFonts w:ascii="Palatino Linotype" w:hAnsi="Palatino Linotype"/>
                                <w:sz w:val="20"/>
                                <w:szCs w:val="20"/>
                              </w:rPr>
                              <w:t>ight axis</w:t>
                            </w:r>
                            <w:r w:rsidR="004E13EB" w:rsidRPr="00F035D1">
                              <w:rPr>
                                <w:rFonts w:ascii="Palatino Linotype" w:hAnsi="Palatino Linotype"/>
                                <w:sz w:val="20"/>
                                <w:szCs w:val="20"/>
                              </w:rPr>
                              <w:t xml:space="preserve">, open rectangle. The </w:t>
                            </w:r>
                            <w:r w:rsidR="00957060">
                              <w:rPr>
                                <w:rFonts w:ascii="Palatino Linotype" w:hAnsi="Palatino Linotype"/>
                                <w:sz w:val="20"/>
                                <w:szCs w:val="20"/>
                              </w:rPr>
                              <w:t>black and gray rectangle symbols</w:t>
                            </w:r>
                            <w:r w:rsidR="004E13EB" w:rsidRPr="00F035D1">
                              <w:rPr>
                                <w:rFonts w:ascii="Palatino Linotype" w:hAnsi="Palatino Linotype"/>
                                <w:sz w:val="20"/>
                                <w:szCs w:val="20"/>
                              </w:rPr>
                              <w:t xml:space="preserve"> represent the Howland Forest, Maine, USA  (Ho-1), and the Wind River, Washington State, USA (Wrc), site NEE1 data, respectively</w:t>
                            </w:r>
                            <w:r w:rsidR="00602959">
                              <w:rPr>
                                <w:rFonts w:ascii="Palatino Linotype" w:hAnsi="Palatino Linotype"/>
                                <w:sz w:val="20"/>
                                <w:szCs w:val="20"/>
                              </w:rPr>
                              <w:t xml:space="preserve"> (symbols are enlarged to aid in visualization, data are available in Supplement S4).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9104D" id="_x0000_t202" coordsize="21600,21600" o:spt="202" path="m,l,21600r21600,l21600,xe">
                <v:stroke joinstyle="miter"/>
                <v:path gradientshapeok="t" o:connecttype="rect"/>
              </v:shapetype>
              <v:shape id="Text Box 7" o:spid="_x0000_s1026" type="#_x0000_t202" style="position:absolute;margin-left:0;margin-top:236.45pt;width:489.2pt;height:82.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" fillcolor="white [3201]" stroked="f" strokeweight=".5pt">
                <v:textbox>
                  <w:txbxContent>
                    <w:p w14:paraId="2F33EBEC" w14:textId="7E2074B0" w:rsidR="00E375E7" w:rsidRPr="00F035D1" w:rsidRDefault="00E375E7">
                      <w:pPr>
                        <w:rPr>
                          <w:rFonts w:ascii="Palatino Linotype" w:hAnsi="Palatino Linotype"/>
                          <w:sz w:val="20"/>
                          <w:szCs w:val="20"/>
                        </w:rPr>
                      </w:pPr>
                      <w:r w:rsidRPr="00F035D1">
                        <w:rPr>
                          <w:rFonts w:ascii="Palatino Linotype" w:hAnsi="Palatino Linotype"/>
                          <w:sz w:val="20"/>
                          <w:szCs w:val="20"/>
                        </w:rPr>
                        <w:t>Plot of GPP vs Reco</w:t>
                      </w:r>
                      <w:r w:rsidR="007E2FD2" w:rsidRPr="00F035D1">
                        <w:rPr>
                          <w:rFonts w:ascii="Palatino Linotype" w:hAnsi="Palatino Linotype"/>
                          <w:sz w:val="20"/>
                          <w:szCs w:val="20"/>
                        </w:rPr>
                        <w:t xml:space="preserve"> NEE1</w:t>
                      </w:r>
                      <w:r w:rsidR="004E13EB" w:rsidRPr="00F035D1">
                        <w:rPr>
                          <w:rFonts w:ascii="Palatino Linotype" w:hAnsi="Palatino Linotype"/>
                          <w:sz w:val="20"/>
                          <w:szCs w:val="20"/>
                        </w:rPr>
                        <w:t>, open circles</w:t>
                      </w:r>
                      <w:r w:rsidRPr="00F035D1">
                        <w:rPr>
                          <w:rFonts w:ascii="Palatino Linotype" w:hAnsi="Palatino Linotype"/>
                          <w:sz w:val="20"/>
                          <w:szCs w:val="20"/>
                        </w:rPr>
                        <w:t xml:space="preserve"> </w:t>
                      </w:r>
                      <w:r w:rsidRPr="00F035D1">
                        <w:rPr>
                          <w:rFonts w:ascii="Palatino Linotype" w:hAnsi="Palatino Linotype"/>
                          <w:sz w:val="20"/>
                          <w:szCs w:val="20"/>
                        </w:rPr>
                        <w:fldChar w:fldCharType="begin" w:fldLock="1"/>
                      </w:r>
                      <w:r w:rsidRPr="00F035D1">
                        <w:rPr>
                          <w:rFonts w:ascii="Palatino Linotype" w:hAnsi="Palatino Linotype"/>
                          <w:sz w:val="20"/>
                          <w:szCs w:val="20"/>
                        </w:rPr>
                        <w:instrText>ADDIN CSL_CITATION {"citationItems":[{"id":"ITEM-1","itemData":{"DOI":"10.1016/j.agrformet.2017.05.015","ISSN":"01681923","abstract":"As the lifetime of regional flux networks approach twenty years, there is a growing number of papers that have published long term records (5 years or more) of net carbon fluxes between ecosystems and the atmosphere. Unanswered questions from this body of work are: 1) how variable are carbon fluxes on a year to year basis?; 2) what are the biophysical factors that may cause interannual variability and/or temporal trends in carbon fluxes?; and 3) how does the biophysical control on this carbon flux variability differ by climate and ecological spaces? To address these questions, we surveyed published data from 59 sites that reported on five or more years of continuous measurements, yielding 544 site-years of data. We found that the standard deviation of the interannual variability in net ecosystem carbon exchange (162 gC m−2 y−1) is large relative to its population mean (−200 gC m−2 y−1). Broad-leaved evergreen forests and crops experienced the greatest absolute variability in interannual net carbon exchange (greater than ±300 gC m−2 y−1) and boreal evergreen forests and maritime wetlands were among the least variable (less than ±40 gC m−2 y−1). A disproportionate fraction of the yearly variability in net ecosystem exchange was associated with biophysical factors that modulated ecosystem photosynthesis rather than ecosystem respiration. Yet, there was appreciable and statistically significant covariance between ecosystem photosynthesis and respiration. Consequently, biophysical conditions that conspired to increase ecosystem photosynthesis to from one year to the next were associated with an increase in ecosystem respiration, and vice versa; on average, the year to year change in respiration was 40% as large as the year to year change in photosynthesis. The analysis also identified sets of ecosystems that are on the verge of switching from being carbon sinks to carbon sources. These include sites in the Arctic tundra, the evergreen forests in the Pacific northwest and some grasslands, where year to year changes in respiration are outpacing those in photosynthesis. While a select set of climatic and ecological factors (e.g. light, rainfall, temperature, phenology) played direct and indirect roles on this variability, their impact differed conditionally, as well as by climate and ecological spaces. For example, rainfall had both positive and negative effects. Deficient rainfall caused a physiological decline in photosynthesis in temperate and semi-arid regi…","author":[{"dropping-particle":"","family":"Baldocchi","given":"Dennis","non-dropping-particle":"","parse-names":false,"suffix":""},{"dropping-particle":"","family":"Chu","given":"Housen","non-dropping-particle":"","parse-names":false,"suffix":""},{"dropping-particle":"","family":"Reichstein","given":"Markus","non-dropping-particle":"","parse-names":false,"suffix":""}],"container-title":"Agricultural and Forest Meteorology","id":"ITEM-1","issued":{"date-parts":[["2018","2","15"]]},"page":"520-533","publisher":"Elsevier B.V.","title":"Inter-annual variability of net and gross ecosystem carbon fluxes: A review","type":"article-journal","volume":"249"},"uris":["http://www.mendeley.com/documents/?uuid=3514bdd3-44cb-3433-90e8-8c819190ae29"]}],"mendeley":{"formattedCitation":"(Baldocchi, Chu, &amp; Reichstein, 2018)","plainTextFormattedCitation":"(Baldocchi, Chu, &amp; Reichstein, 2018)","previouslyFormattedCitation":"(Baldocchi, Chu, &amp; Reichstein, 2018)"},"properties":{"noteIndex":0},"schema":"https://github.com/citation-style-language/schema/raw/master/csl-citation.json"}</w:instrText>
                      </w:r>
                      <w:r w:rsidRPr="00F035D1">
                        <w:rPr>
                          <w:rFonts w:ascii="Palatino Linotype" w:hAnsi="Palatino Linotype"/>
                          <w:sz w:val="20"/>
                          <w:szCs w:val="20"/>
                        </w:rPr>
                        <w:fldChar w:fldCharType="separate"/>
                      </w:r>
                      <w:r w:rsidRPr="00F035D1">
                        <w:rPr>
                          <w:rFonts w:ascii="Palatino Linotype" w:hAnsi="Palatino Linotype"/>
                          <w:noProof/>
                          <w:sz w:val="20"/>
                          <w:szCs w:val="20"/>
                        </w:rPr>
                        <w:t>(Baldocchi, Chu, &amp; Reichstein, 2018)</w:t>
                      </w:r>
                      <w:r w:rsidRPr="00F035D1">
                        <w:rPr>
                          <w:rFonts w:ascii="Palatino Linotype" w:hAnsi="Palatino Linotype"/>
                          <w:sz w:val="20"/>
                          <w:szCs w:val="20"/>
                        </w:rPr>
                        <w:fldChar w:fldCharType="end"/>
                      </w:r>
                      <w:r w:rsidRPr="00F035D1">
                        <w:rPr>
                          <w:rFonts w:ascii="Palatino Linotype" w:hAnsi="Palatino Linotype"/>
                          <w:sz w:val="20"/>
                          <w:szCs w:val="20"/>
                        </w:rPr>
                        <w:t>.</w:t>
                      </w:r>
                      <w:r w:rsidR="002E27B9" w:rsidRPr="00F035D1">
                        <w:rPr>
                          <w:rFonts w:ascii="Palatino Linotype" w:hAnsi="Palatino Linotype"/>
                          <w:sz w:val="20"/>
                          <w:szCs w:val="20"/>
                        </w:rPr>
                        <w:t xml:space="preserve"> </w:t>
                      </w:r>
                      <w:r w:rsidR="007E2FD2" w:rsidRPr="00F035D1">
                        <w:rPr>
                          <w:rFonts w:ascii="Palatino Linotype" w:hAnsi="Palatino Linotype"/>
                          <w:sz w:val="20"/>
                          <w:szCs w:val="20"/>
                        </w:rPr>
                        <w:t>A</w:t>
                      </w:r>
                      <w:r w:rsidR="002E27B9" w:rsidRPr="00F035D1">
                        <w:rPr>
                          <w:rFonts w:ascii="Palatino Linotype" w:hAnsi="Palatino Linotype"/>
                          <w:sz w:val="20"/>
                          <w:szCs w:val="20"/>
                        </w:rPr>
                        <w:t>bsolute value of mean and SD</w:t>
                      </w:r>
                      <w:r w:rsidR="007E2FD2" w:rsidRPr="00F035D1">
                        <w:rPr>
                          <w:rFonts w:ascii="Palatino Linotype" w:hAnsi="Palatino Linotype"/>
                          <w:sz w:val="20"/>
                          <w:szCs w:val="20"/>
                        </w:rPr>
                        <w:t xml:space="preserve"> for NEE1 are shown on the r</w:t>
                      </w:r>
                      <w:r w:rsidR="002E27B9" w:rsidRPr="00F035D1">
                        <w:rPr>
                          <w:rFonts w:ascii="Palatino Linotype" w:hAnsi="Palatino Linotype"/>
                          <w:sz w:val="20"/>
                          <w:szCs w:val="20"/>
                        </w:rPr>
                        <w:t>ight axis</w:t>
                      </w:r>
                      <w:r w:rsidR="004E13EB" w:rsidRPr="00F035D1">
                        <w:rPr>
                          <w:rFonts w:ascii="Palatino Linotype" w:hAnsi="Palatino Linotype"/>
                          <w:sz w:val="20"/>
                          <w:szCs w:val="20"/>
                        </w:rPr>
                        <w:t xml:space="preserve">, open rectangle. The </w:t>
                      </w:r>
                      <w:r w:rsidR="00957060">
                        <w:rPr>
                          <w:rFonts w:ascii="Palatino Linotype" w:hAnsi="Palatino Linotype"/>
                          <w:sz w:val="20"/>
                          <w:szCs w:val="20"/>
                        </w:rPr>
                        <w:t>black and gray rectangle symbols</w:t>
                      </w:r>
                      <w:r w:rsidR="004E13EB" w:rsidRPr="00F035D1">
                        <w:rPr>
                          <w:rFonts w:ascii="Palatino Linotype" w:hAnsi="Palatino Linotype"/>
                          <w:sz w:val="20"/>
                          <w:szCs w:val="20"/>
                        </w:rPr>
                        <w:t xml:space="preserve"> represent the Howland Forest, Maine, USA  (Ho-1), and the Wind River, Washington State, USA (Wrc), site NEE1 data, respectively</w:t>
                      </w:r>
                      <w:r w:rsidR="00602959">
                        <w:rPr>
                          <w:rFonts w:ascii="Palatino Linotype" w:hAnsi="Palatino Linotype"/>
                          <w:sz w:val="20"/>
                          <w:szCs w:val="20"/>
                        </w:rPr>
                        <w:t xml:space="preserve"> (symbols are enlarged to aid in visualization, data are available in Supplement S4).</w:t>
                      </w:r>
                    </w:p>
                  </w:txbxContent>
                </v:textbox>
                <w10:wrap anchorx="margin"/>
              </v:shape>
            </w:pict>
          </mc:Fallback>
        </mc:AlternateContent>
      </w:r>
      <w:r w:rsidR="004F3285" w:rsidRPr="004F3285">
        <w:t xml:space="preserve"> </w:t>
      </w:r>
      <w:bookmarkStart w:id="0" w:name="_GoBack"/>
      <w:bookmarkEnd w:id="0"/>
      <w:r w:rsidR="00911FF9">
        <w:rPr>
          <w:noProof/>
        </w:rPr>
        <mc:AlternateContent>
          <mc:Choice Requires="wps">
            <w:drawing>
              <wp:anchor distT="0" distB="0" distL="114300" distR="114300" simplePos="0" relativeHeight="251664384" behindDoc="0" locked="0" layoutInCell="1" allowOverlap="1" wp14:anchorId="3C6EBE13" wp14:editId="6C79191E">
                <wp:simplePos x="0" y="0"/>
                <wp:positionH relativeFrom="column">
                  <wp:posOffset>2910869</wp:posOffset>
                </wp:positionH>
                <wp:positionV relativeFrom="paragraph">
                  <wp:posOffset>1869323</wp:posOffset>
                </wp:positionV>
                <wp:extent cx="231676" cy="260058"/>
                <wp:effectExtent l="0" t="0" r="0" b="6985"/>
                <wp:wrapNone/>
                <wp:docPr id="4" name="Rectangle 4"/>
                <wp:cNvGraphicFramePr/>
                <a:graphic xmlns:a="http://schemas.openxmlformats.org/drawingml/2006/main">
                  <a:graphicData uri="http://schemas.microsoft.com/office/word/2010/wordprocessingShape">
                    <wps:wsp>
                      <wps:cNvSpPr/>
                      <wps:spPr>
                        <a:xfrm>
                          <a:off x="0" y="0"/>
                          <a:ext cx="231676" cy="26005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C1ED8" id="Rectangle 4" o:spid="_x0000_s1026" style="position:absolute;margin-left:229.2pt;margin-top:147.2pt;width:18.25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" fillcolor="white [3212]" stroked="f" strokeweight="1pt"/>
            </w:pict>
          </mc:Fallback>
        </mc:AlternateContent>
      </w:r>
      <w:r w:rsidR="006C01A7">
        <w:rPr>
          <w:noProof/>
        </w:rPr>
        <mc:AlternateContent>
          <mc:Choice Requires="wps">
            <w:drawing>
              <wp:anchor distT="0" distB="0" distL="114300" distR="114300" simplePos="0" relativeHeight="251663360" behindDoc="0" locked="0" layoutInCell="1" allowOverlap="1" wp14:anchorId="36BD14A9" wp14:editId="797269B5">
                <wp:simplePos x="0" y="0"/>
                <wp:positionH relativeFrom="column">
                  <wp:posOffset>6413488</wp:posOffset>
                </wp:positionH>
                <wp:positionV relativeFrom="paragraph">
                  <wp:posOffset>969797</wp:posOffset>
                </wp:positionV>
                <wp:extent cx="201179" cy="249382"/>
                <wp:effectExtent l="0" t="0" r="8890" b="0"/>
                <wp:wrapNone/>
                <wp:docPr id="2" name="Rectangle 2"/>
                <wp:cNvGraphicFramePr/>
                <a:graphic xmlns:a="http://schemas.openxmlformats.org/drawingml/2006/main">
                  <a:graphicData uri="http://schemas.microsoft.com/office/word/2010/wordprocessingShape">
                    <wps:wsp>
                      <wps:cNvSpPr/>
                      <wps:spPr>
                        <a:xfrm>
                          <a:off x="0" y="0"/>
                          <a:ext cx="201179" cy="24938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419603" id="Rectangle 2" o:spid="_x0000_s1026" style="position:absolute;margin-left:505pt;margin-top:76.35pt;width:15.85pt;height:19.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" fillcolor="white [3212]" stroked="f" strokeweight="1pt"/>
            </w:pict>
          </mc:Fallback>
        </mc:AlternateContent>
      </w:r>
      <w:r w:rsidR="006C01A7" w:rsidRPr="00700A89">
        <w:rPr>
          <w:rFonts w:ascii="Palatino Linotype" w:hAnsi="Palatino Linotype"/>
          <w:noProof/>
        </w:rPr>
        <mc:AlternateContent>
          <mc:Choice Requires="wps">
            <w:drawing>
              <wp:anchor distT="0" distB="0" distL="114300" distR="114300" simplePos="0" relativeHeight="251661312" behindDoc="0" locked="0" layoutInCell="1" allowOverlap="1" wp14:anchorId="6B4408F2" wp14:editId="09C9F64B">
                <wp:simplePos x="0" y="0"/>
                <wp:positionH relativeFrom="column">
                  <wp:posOffset>4462867</wp:posOffset>
                </wp:positionH>
                <wp:positionV relativeFrom="paragraph">
                  <wp:posOffset>1835476</wp:posOffset>
                </wp:positionV>
                <wp:extent cx="306054" cy="294598"/>
                <wp:effectExtent l="0" t="0" r="0" b="0"/>
                <wp:wrapNone/>
                <wp:docPr id="3" name="Text Box 3"/>
                <wp:cNvGraphicFramePr/>
                <a:graphic xmlns:a="http://schemas.openxmlformats.org/drawingml/2006/main">
                  <a:graphicData uri="http://schemas.microsoft.com/office/word/2010/wordprocessingShape">
                    <wps:wsp>
                      <wps:cNvSpPr txBox="1"/>
                      <wps:spPr>
                        <a:xfrm>
                          <a:off x="0" y="0"/>
                          <a:ext cx="306054" cy="294598"/>
                        </a:xfrm>
                        <a:prstGeom prst="rect">
                          <a:avLst/>
                        </a:prstGeom>
                        <a:solidFill>
                          <a:schemeClr val="lt1"/>
                        </a:solidFill>
                        <a:ln w="6350">
                          <a:noFill/>
                        </a:ln>
                      </wps:spPr>
                      <wps:txbx>
                        <w:txbxContent>
                          <w:p w14:paraId="32003F15" w14:textId="1829EC3E" w:rsidR="00805DB4" w:rsidRDefault="00805DB4" w:rsidP="00805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408F2" id="Text Box 3" o:spid="_x0000_s1027" type="#_x0000_t202" style="position:absolute;margin-left:351.4pt;margin-top:144.55pt;width:24.1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" fillcolor="white [3201]" stroked="f" strokeweight=".5pt">
                <v:textbox>
                  <w:txbxContent>
                    <w:p w14:paraId="32003F15" w14:textId="1829EC3E" w:rsidR="00805DB4" w:rsidRDefault="00805DB4" w:rsidP="00805DB4"/>
                  </w:txbxContent>
                </v:textbox>
              </v:shape>
            </w:pict>
          </mc:Fallback>
        </mc:AlternateContent>
      </w:r>
      <w:r w:rsidR="007E2FD2">
        <w:rPr>
          <w:noProof/>
        </w:rPr>
        <mc:AlternateContent>
          <mc:Choice Requires="wpg">
            <w:drawing>
              <wp:anchor distT="0" distB="0" distL="114300" distR="114300" simplePos="0" relativeHeight="251667456" behindDoc="0" locked="0" layoutInCell="1" allowOverlap="1" wp14:anchorId="635E1D66" wp14:editId="2BBD2C99">
                <wp:simplePos x="0" y="0"/>
                <wp:positionH relativeFrom="column">
                  <wp:posOffset>4188092</wp:posOffset>
                </wp:positionH>
                <wp:positionV relativeFrom="paragraph">
                  <wp:posOffset>454166</wp:posOffset>
                </wp:positionV>
                <wp:extent cx="240815" cy="143093"/>
                <wp:effectExtent l="0" t="0" r="6985" b="9525"/>
                <wp:wrapNone/>
                <wp:docPr id="11" name="Group 11"/>
                <wp:cNvGraphicFramePr/>
                <a:graphic xmlns:a="http://schemas.openxmlformats.org/drawingml/2006/main">
                  <a:graphicData uri="http://schemas.microsoft.com/office/word/2010/wordprocessingGroup">
                    <wpg:wgp>
                      <wpg:cNvGrpSpPr/>
                      <wpg:grpSpPr>
                        <a:xfrm>
                          <a:off x="0" y="0"/>
                          <a:ext cx="240815" cy="143093"/>
                          <a:chOff x="0" y="0"/>
                          <a:chExt cx="240815" cy="143093"/>
                        </a:xfrm>
                      </wpg:grpSpPr>
                      <wps:wsp>
                        <wps:cNvPr id="9" name="Rectangle 9"/>
                        <wps:cNvSpPr/>
                        <wps:spPr>
                          <a:xfrm>
                            <a:off x="6980" y="0"/>
                            <a:ext cx="233835" cy="663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38390"/>
                            <a:ext cx="174503" cy="10470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DF10F2" id="Group 11" o:spid="_x0000_s1026" style="position:absolute;margin-left:329.75pt;margin-top:35.75pt;width:18.95pt;height:11.25pt;z-index:251667456" coordsize="240815,14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">
                <v:rect id="Rectangle 9" o:spid="_x0000_s1027" style="position:absolute;left:6980;width:233835;height:66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rect id="Rectangle 10" o:spid="_x0000_s1028" style="position:absolute;top:38390;width:174503;height:10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group>
            </w:pict>
          </mc:Fallback>
        </mc:AlternateContent>
      </w:r>
    </w:p>
    <w:sectPr w:rsidR="00C05C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FF0BE" w14:textId="77777777" w:rsidR="00696F99" w:rsidRDefault="00696F99" w:rsidP="00672296">
      <w:pPr>
        <w:spacing w:after="0" w:line="240" w:lineRule="auto"/>
      </w:pPr>
      <w:r>
        <w:separator/>
      </w:r>
    </w:p>
  </w:endnote>
  <w:endnote w:type="continuationSeparator" w:id="0">
    <w:p w14:paraId="4CCBDB1A" w14:textId="77777777" w:rsidR="00696F99" w:rsidRDefault="00696F99" w:rsidP="0067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171955"/>
      <w:docPartObj>
        <w:docPartGallery w:val="Page Numbers (Bottom of Page)"/>
        <w:docPartUnique/>
      </w:docPartObj>
    </w:sdtPr>
    <w:sdtEndPr>
      <w:rPr>
        <w:noProof/>
      </w:rPr>
    </w:sdtEndPr>
    <w:sdtContent>
      <w:p w14:paraId="25B7CE74" w14:textId="6F26979A" w:rsidR="00672296" w:rsidRDefault="006722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58F8B9" w14:textId="77777777" w:rsidR="00672296" w:rsidRDefault="00672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DBBAF" w14:textId="77777777" w:rsidR="00696F99" w:rsidRDefault="00696F99" w:rsidP="00672296">
      <w:pPr>
        <w:spacing w:after="0" w:line="240" w:lineRule="auto"/>
      </w:pPr>
      <w:r>
        <w:separator/>
      </w:r>
    </w:p>
  </w:footnote>
  <w:footnote w:type="continuationSeparator" w:id="0">
    <w:p w14:paraId="422F8703" w14:textId="77777777" w:rsidR="00696F99" w:rsidRDefault="00696F99" w:rsidP="006722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80"/>
    <w:rsid w:val="000146F4"/>
    <w:rsid w:val="00040841"/>
    <w:rsid w:val="00090937"/>
    <w:rsid w:val="00096DDF"/>
    <w:rsid w:val="000E0405"/>
    <w:rsid w:val="00106910"/>
    <w:rsid w:val="00114843"/>
    <w:rsid w:val="001A77D1"/>
    <w:rsid w:val="001D3026"/>
    <w:rsid w:val="002118C3"/>
    <w:rsid w:val="00220020"/>
    <w:rsid w:val="00263A8A"/>
    <w:rsid w:val="002E27B9"/>
    <w:rsid w:val="00303AEA"/>
    <w:rsid w:val="00307B5F"/>
    <w:rsid w:val="00315628"/>
    <w:rsid w:val="0032399F"/>
    <w:rsid w:val="00373021"/>
    <w:rsid w:val="00426C54"/>
    <w:rsid w:val="00435B33"/>
    <w:rsid w:val="004459E1"/>
    <w:rsid w:val="004A611A"/>
    <w:rsid w:val="004E13EB"/>
    <w:rsid w:val="004E3DC4"/>
    <w:rsid w:val="004F3285"/>
    <w:rsid w:val="00545CAC"/>
    <w:rsid w:val="00596D19"/>
    <w:rsid w:val="005A2385"/>
    <w:rsid w:val="005D2F62"/>
    <w:rsid w:val="005F74A5"/>
    <w:rsid w:val="00602959"/>
    <w:rsid w:val="00605E13"/>
    <w:rsid w:val="00663A15"/>
    <w:rsid w:val="00672296"/>
    <w:rsid w:val="00696F99"/>
    <w:rsid w:val="006C01A7"/>
    <w:rsid w:val="006F3432"/>
    <w:rsid w:val="00700A89"/>
    <w:rsid w:val="00743624"/>
    <w:rsid w:val="00787A1F"/>
    <w:rsid w:val="007C5DE7"/>
    <w:rsid w:val="007E2FD2"/>
    <w:rsid w:val="00805DB4"/>
    <w:rsid w:val="0081371C"/>
    <w:rsid w:val="00846A75"/>
    <w:rsid w:val="008863FA"/>
    <w:rsid w:val="00910F2A"/>
    <w:rsid w:val="00911FF9"/>
    <w:rsid w:val="009160BC"/>
    <w:rsid w:val="009201F4"/>
    <w:rsid w:val="00957060"/>
    <w:rsid w:val="00A6457E"/>
    <w:rsid w:val="00AA0737"/>
    <w:rsid w:val="00AB6CFF"/>
    <w:rsid w:val="00AF40AC"/>
    <w:rsid w:val="00B777D0"/>
    <w:rsid w:val="00B83C8D"/>
    <w:rsid w:val="00B8705E"/>
    <w:rsid w:val="00B90651"/>
    <w:rsid w:val="00C05C6D"/>
    <w:rsid w:val="00C06198"/>
    <w:rsid w:val="00C5076F"/>
    <w:rsid w:val="00CC51E5"/>
    <w:rsid w:val="00CE2B8E"/>
    <w:rsid w:val="00D21BC8"/>
    <w:rsid w:val="00D22D00"/>
    <w:rsid w:val="00D6082D"/>
    <w:rsid w:val="00E375E7"/>
    <w:rsid w:val="00E42C66"/>
    <w:rsid w:val="00E42FE3"/>
    <w:rsid w:val="00E7010B"/>
    <w:rsid w:val="00E7210E"/>
    <w:rsid w:val="00EC7AA8"/>
    <w:rsid w:val="00ED7DFA"/>
    <w:rsid w:val="00EE5B80"/>
    <w:rsid w:val="00EF0448"/>
    <w:rsid w:val="00EF0CBD"/>
    <w:rsid w:val="00F01605"/>
    <w:rsid w:val="00F035D1"/>
    <w:rsid w:val="00F2551E"/>
    <w:rsid w:val="00F3575E"/>
    <w:rsid w:val="00F454BC"/>
    <w:rsid w:val="00F847A3"/>
    <w:rsid w:val="00F9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1AD9"/>
  <w15:chartTrackingRefBased/>
  <w15:docId w15:val="{D638B022-0CF6-4B40-AFC6-685E1F26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7D0"/>
    <w:rPr>
      <w:color w:val="0000FF"/>
      <w:u w:val="single"/>
    </w:rPr>
  </w:style>
  <w:style w:type="character" w:styleId="UnresolvedMention">
    <w:name w:val="Unresolved Mention"/>
    <w:basedOn w:val="DefaultParagraphFont"/>
    <w:uiPriority w:val="99"/>
    <w:semiHidden/>
    <w:unhideWhenUsed/>
    <w:rsid w:val="005F74A5"/>
    <w:rPr>
      <w:color w:val="605E5C"/>
      <w:shd w:val="clear" w:color="auto" w:fill="E1DFDD"/>
    </w:rPr>
  </w:style>
  <w:style w:type="paragraph" w:customStyle="1" w:styleId="Normal1">
    <w:name w:val="Normal1"/>
    <w:rsid w:val="001D3026"/>
    <w:rPr>
      <w:rFonts w:eastAsiaTheme="minorEastAsia"/>
    </w:rPr>
  </w:style>
  <w:style w:type="paragraph" w:customStyle="1" w:styleId="MDPI12title">
    <w:name w:val="MDPI_1.2_title"/>
    <w:next w:val="Normal"/>
    <w:qFormat/>
    <w:rsid w:val="00F2551E"/>
    <w:pPr>
      <w:adjustRightInd w:val="0"/>
      <w:snapToGrid w:val="0"/>
      <w:spacing w:after="240" w:line="400" w:lineRule="exact"/>
    </w:pPr>
    <w:rPr>
      <w:rFonts w:ascii="Palatino Linotype" w:eastAsia="Times New Roman" w:hAnsi="Palatino Linotype" w:cs="Times New Roman"/>
      <w:b/>
      <w:snapToGrid w:val="0"/>
      <w:color w:val="000000"/>
      <w:sz w:val="36"/>
      <w:lang w:eastAsia="de-DE" w:bidi="en-US"/>
    </w:rPr>
  </w:style>
  <w:style w:type="paragraph" w:styleId="Header">
    <w:name w:val="header"/>
    <w:basedOn w:val="Normal"/>
    <w:link w:val="HeaderChar"/>
    <w:uiPriority w:val="99"/>
    <w:unhideWhenUsed/>
    <w:rsid w:val="0067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296"/>
  </w:style>
  <w:style w:type="paragraph" w:styleId="Footer">
    <w:name w:val="footer"/>
    <w:basedOn w:val="Normal"/>
    <w:link w:val="FooterChar"/>
    <w:uiPriority w:val="99"/>
    <w:unhideWhenUsed/>
    <w:rsid w:val="00672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8619">
      <w:bodyDiv w:val="1"/>
      <w:marLeft w:val="0"/>
      <w:marRight w:val="0"/>
      <w:marTop w:val="0"/>
      <w:marBottom w:val="0"/>
      <w:divBdr>
        <w:top w:val="none" w:sz="0" w:space="0" w:color="auto"/>
        <w:left w:val="none" w:sz="0" w:space="0" w:color="auto"/>
        <w:bottom w:val="none" w:sz="0" w:space="0" w:color="auto"/>
        <w:right w:val="none" w:sz="0" w:space="0" w:color="auto"/>
      </w:divBdr>
    </w:div>
    <w:div w:id="213780828">
      <w:bodyDiv w:val="1"/>
      <w:marLeft w:val="0"/>
      <w:marRight w:val="0"/>
      <w:marTop w:val="0"/>
      <w:marBottom w:val="0"/>
      <w:divBdr>
        <w:top w:val="none" w:sz="0" w:space="0" w:color="auto"/>
        <w:left w:val="none" w:sz="0" w:space="0" w:color="auto"/>
        <w:bottom w:val="none" w:sz="0" w:space="0" w:color="auto"/>
        <w:right w:val="none" w:sz="0" w:space="0" w:color="auto"/>
      </w:divBdr>
    </w:div>
    <w:div w:id="534200100">
      <w:bodyDiv w:val="1"/>
      <w:marLeft w:val="0"/>
      <w:marRight w:val="0"/>
      <w:marTop w:val="0"/>
      <w:marBottom w:val="0"/>
      <w:divBdr>
        <w:top w:val="none" w:sz="0" w:space="0" w:color="auto"/>
        <w:left w:val="none" w:sz="0" w:space="0" w:color="auto"/>
        <w:bottom w:val="none" w:sz="0" w:space="0" w:color="auto"/>
        <w:right w:val="none" w:sz="0" w:space="0" w:color="auto"/>
      </w:divBdr>
    </w:div>
    <w:div w:id="1018388247">
      <w:bodyDiv w:val="1"/>
      <w:marLeft w:val="0"/>
      <w:marRight w:val="0"/>
      <w:marTop w:val="0"/>
      <w:marBottom w:val="0"/>
      <w:divBdr>
        <w:top w:val="none" w:sz="0" w:space="0" w:color="auto"/>
        <w:left w:val="none" w:sz="0" w:space="0" w:color="auto"/>
        <w:bottom w:val="none" w:sz="0" w:space="0" w:color="auto"/>
        <w:right w:val="none" w:sz="0" w:space="0" w:color="auto"/>
      </w:divBdr>
    </w:div>
    <w:div w:id="1533228028">
      <w:bodyDiv w:val="1"/>
      <w:marLeft w:val="0"/>
      <w:marRight w:val="0"/>
      <w:marTop w:val="0"/>
      <w:marBottom w:val="0"/>
      <w:divBdr>
        <w:top w:val="none" w:sz="0" w:space="0" w:color="auto"/>
        <w:left w:val="none" w:sz="0" w:space="0" w:color="auto"/>
        <w:bottom w:val="none" w:sz="0" w:space="0" w:color="auto"/>
        <w:right w:val="none" w:sz="0" w:space="0" w:color="auto"/>
      </w:divBdr>
    </w:div>
    <w:div w:id="1630697871">
      <w:bodyDiv w:val="1"/>
      <w:marLeft w:val="0"/>
      <w:marRight w:val="0"/>
      <w:marTop w:val="0"/>
      <w:marBottom w:val="0"/>
      <w:divBdr>
        <w:top w:val="none" w:sz="0" w:space="0" w:color="auto"/>
        <w:left w:val="none" w:sz="0" w:space="0" w:color="auto"/>
        <w:bottom w:val="none" w:sz="0" w:space="0" w:color="auto"/>
        <w:right w:val="none" w:sz="0" w:space="0" w:color="auto"/>
      </w:divBdr>
    </w:div>
    <w:div w:id="1731149420">
      <w:bodyDiv w:val="1"/>
      <w:marLeft w:val="0"/>
      <w:marRight w:val="0"/>
      <w:marTop w:val="0"/>
      <w:marBottom w:val="0"/>
      <w:divBdr>
        <w:top w:val="none" w:sz="0" w:space="0" w:color="auto"/>
        <w:left w:val="none" w:sz="0" w:space="0" w:color="auto"/>
        <w:bottom w:val="none" w:sz="0" w:space="0" w:color="auto"/>
        <w:right w:val="none" w:sz="0" w:space="0" w:color="auto"/>
      </w:divBdr>
    </w:div>
    <w:div w:id="20347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3FAA3CB-77CF-459B-826B-5152C268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marino</dc:creator>
  <cp:keywords/>
  <dc:description/>
  <cp:lastModifiedBy>bruno marino</cp:lastModifiedBy>
  <cp:revision>2</cp:revision>
  <cp:lastPrinted>2019-07-20T14:12:00Z</cp:lastPrinted>
  <dcterms:created xsi:type="dcterms:W3CDTF">2019-07-31T21:19:00Z</dcterms:created>
  <dcterms:modified xsi:type="dcterms:W3CDTF">2019-07-31T21:19:00Z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http://csl.mendeley.com/styles/2402171/vancouver-2a</vt:lpwstr>
  </property>
  <property fmtid="{D5CDD505-2E9C-101B-9397-08002B2CF9AE}" pid="21" name="Mendeley Recent Style Name 9_1">
    <vt:lpwstr>Vancouver - Bruno Marino</vt:lpwstr>
  </property>
  <property fmtid="{D5CDD505-2E9C-101B-9397-08002B2CF9AE}" pid="22" name="Mendeley Document_1">
    <vt:lpwstr>True</vt:lpwstr>
  </property>
  <property fmtid="{D5CDD505-2E9C-101B-9397-08002B2CF9AE}" pid="23" name="Mendeley Unique User Id_1">
    <vt:lpwstr>716e6a4f-6a8c-3f18-a58f-d4d38036bdc0</vt:lpwstr>
  </property>
  <property fmtid="{D5CDD505-2E9C-101B-9397-08002B2CF9AE}" pid="24" name="Mendeley Citation Style_1">
    <vt:lpwstr>http://www.zotero.org/styles/apa</vt:lpwstr>
  </property>
</Properties>
</file>