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3CE666" w14:textId="5D8B3420" w:rsidR="00BF2D0E" w:rsidRDefault="00BF2D0E" w:rsidP="00BF2D0E">
      <w:pPr>
        <w:pStyle w:val="Normal1"/>
        <w:spacing w:before="240" w:after="0" w:line="260" w:lineRule="atLeast"/>
        <w:jc w:val="both"/>
        <w:rPr>
          <w:rStyle w:val="Hyperlink"/>
          <w:rFonts w:ascii="Palatino Linotype" w:eastAsia="Calibri" w:hAnsi="Palatino Linotype" w:cs="Calibri"/>
          <w:sz w:val="24"/>
          <w:szCs w:val="24"/>
        </w:rPr>
      </w:pPr>
      <w:r w:rsidRPr="0085092B">
        <w:rPr>
          <w:rFonts w:ascii="Palatino Linotype" w:eastAsia="Calibri" w:hAnsi="Palatino Linotype" w:cs="Calibri"/>
          <w:b/>
          <w:sz w:val="24"/>
          <w:szCs w:val="24"/>
        </w:rPr>
        <w:t>Supplement</w:t>
      </w:r>
      <w:r w:rsidR="006D60FD">
        <w:rPr>
          <w:rFonts w:ascii="Palatino Linotype" w:eastAsia="Calibri" w:hAnsi="Palatino Linotype" w:cs="Calibri"/>
          <w:b/>
          <w:sz w:val="24"/>
          <w:szCs w:val="24"/>
        </w:rPr>
        <w:t xml:space="preserve"> </w:t>
      </w:r>
      <w:r w:rsidR="001834DD">
        <w:rPr>
          <w:rFonts w:ascii="Palatino Linotype" w:eastAsia="Calibri" w:hAnsi="Palatino Linotype" w:cs="Calibri"/>
          <w:b/>
          <w:sz w:val="24"/>
          <w:szCs w:val="24"/>
        </w:rPr>
        <w:t>S</w:t>
      </w:r>
      <w:r>
        <w:rPr>
          <w:rFonts w:ascii="Palatino Linotype" w:eastAsia="Calibri" w:hAnsi="Palatino Linotype" w:cs="Calibri"/>
          <w:b/>
          <w:sz w:val="24"/>
          <w:szCs w:val="24"/>
        </w:rPr>
        <w:t>1</w:t>
      </w:r>
      <w:r w:rsidRPr="0085092B">
        <w:rPr>
          <w:rFonts w:ascii="Palatino Linotype" w:eastAsia="Calibri" w:hAnsi="Palatino Linotype" w:cs="Calibri"/>
          <w:b/>
          <w:sz w:val="24"/>
          <w:szCs w:val="24"/>
        </w:rPr>
        <w:t>:  Project Locations</w:t>
      </w:r>
      <w:r w:rsidR="00831227">
        <w:rPr>
          <w:rFonts w:ascii="Palatino Linotype" w:eastAsia="Calibri" w:hAnsi="Palatino Linotype" w:cs="Calibri"/>
          <w:b/>
          <w:sz w:val="24"/>
          <w:szCs w:val="24"/>
        </w:rPr>
        <w:t xml:space="preserve"> Interactive Map</w:t>
      </w:r>
      <w:r w:rsidRPr="0085092B">
        <w:rPr>
          <w:rFonts w:ascii="Palatino Linotype" w:eastAsia="Calibri" w:hAnsi="Palatino Linotype" w:cs="Calibri"/>
          <w:b/>
          <w:sz w:val="24"/>
          <w:szCs w:val="24"/>
        </w:rPr>
        <w:t>.</w:t>
      </w:r>
      <w:r w:rsidRPr="0085092B">
        <w:rPr>
          <w:rFonts w:ascii="Palatino Linotype" w:eastAsia="Calibri" w:hAnsi="Palatino Linotype" w:cs="Calibri"/>
          <w:sz w:val="24"/>
          <w:szCs w:val="24"/>
        </w:rPr>
        <w:t xml:space="preserve"> The interactive map can be accessed here: </w:t>
      </w:r>
      <w:hyperlink r:id="rId4" w:history="1">
        <w:r w:rsidRPr="0085437E">
          <w:rPr>
            <w:rStyle w:val="Hyperlink"/>
            <w:rFonts w:ascii="Palatino Linotype" w:eastAsia="Calibri" w:hAnsi="Palatino Linotype" w:cs="Calibri"/>
            <w:sz w:val="24"/>
            <w:szCs w:val="24"/>
          </w:rPr>
          <w:t>http://geocambridge.com/PEMfluxmap/</w:t>
        </w:r>
      </w:hyperlink>
      <w:r w:rsidR="002B269B">
        <w:rPr>
          <w:rStyle w:val="Hyperlink"/>
          <w:rFonts w:ascii="Palatino Linotype" w:eastAsia="Calibri" w:hAnsi="Palatino Linotype" w:cs="Calibri"/>
          <w:sz w:val="24"/>
          <w:szCs w:val="24"/>
        </w:rPr>
        <w:t xml:space="preserve"> </w:t>
      </w:r>
    </w:p>
    <w:p w14:paraId="715ACF77" w14:textId="77777777" w:rsidR="006D60FD" w:rsidRPr="006D60FD" w:rsidRDefault="006D60FD" w:rsidP="006D60FD">
      <w:pPr>
        <w:rPr>
          <w:lang w:eastAsia="de-DE" w:bidi="en-US"/>
        </w:rPr>
      </w:pPr>
      <w:bookmarkStart w:id="0" w:name="_GoBack"/>
      <w:bookmarkEnd w:id="0"/>
    </w:p>
    <w:p w14:paraId="695F8043" w14:textId="77777777" w:rsidR="00BF2D0E" w:rsidRPr="0085092B" w:rsidRDefault="00BF2D0E" w:rsidP="00BF2D0E">
      <w:pPr>
        <w:pStyle w:val="Heading4"/>
        <w:spacing w:before="240" w:line="260" w:lineRule="atLeast"/>
        <w:ind w:left="115"/>
        <w:jc w:val="both"/>
        <w:rPr>
          <w:rFonts w:ascii="Palatino Linotype" w:eastAsia="Calibri" w:hAnsi="Palatino Linotype" w:cs="Calibri"/>
          <w:b/>
          <w:color w:val="000000"/>
          <w:sz w:val="24"/>
          <w:szCs w:val="24"/>
        </w:rPr>
      </w:pPr>
      <w:bookmarkStart w:id="1" w:name="_1t3h5sf" w:colFirst="0" w:colLast="0"/>
      <w:bookmarkStart w:id="2" w:name="_4d34og8" w:colFirst="0" w:colLast="0"/>
      <w:bookmarkEnd w:id="1"/>
      <w:bookmarkEnd w:id="2"/>
      <w:r w:rsidRPr="000A3B3F">
        <w:rPr>
          <w:noProof/>
        </w:rPr>
        <w:drawing>
          <wp:inline distT="0" distB="0" distL="0" distR="0" wp14:anchorId="1AE80EA3" wp14:editId="5386447A">
            <wp:extent cx="5943600" cy="2724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2724150"/>
                    </a:xfrm>
                    <a:prstGeom prst="rect">
                      <a:avLst/>
                    </a:prstGeom>
                  </pic:spPr>
                </pic:pic>
              </a:graphicData>
            </a:graphic>
          </wp:inline>
        </w:drawing>
      </w:r>
    </w:p>
    <w:p w14:paraId="3F816F06" w14:textId="776F63F8" w:rsidR="002B269B" w:rsidRPr="00A66AF7" w:rsidRDefault="00BF2D0E" w:rsidP="00E33937">
      <w:pPr>
        <w:shd w:val="clear" w:color="auto" w:fill="FFFFFF"/>
        <w:spacing w:before="240" w:after="0" w:line="260" w:lineRule="atLeast"/>
        <w:ind w:left="115"/>
        <w:jc w:val="both"/>
        <w:rPr>
          <w:rFonts w:ascii="Palatino Linotype" w:eastAsia="Times New Roman" w:hAnsi="Palatino Linotype" w:cs="Times New Roman"/>
          <w:sz w:val="24"/>
          <w:szCs w:val="24"/>
        </w:rPr>
      </w:pPr>
      <w:r w:rsidRPr="0085092B">
        <w:rPr>
          <w:rFonts w:ascii="Palatino Linotype" w:eastAsia="Times New Roman" w:hAnsi="Palatino Linotype"/>
          <w:color w:val="222222"/>
          <w:sz w:val="24"/>
          <w:szCs w:val="24"/>
        </w:rPr>
        <w:t>The project location</w:t>
      </w:r>
      <w:r>
        <w:rPr>
          <w:rFonts w:ascii="Palatino Linotype" w:eastAsia="Times New Roman" w:hAnsi="Palatino Linotype"/>
          <w:color w:val="222222"/>
          <w:sz w:val="24"/>
          <w:szCs w:val="24"/>
        </w:rPr>
        <w:t>s are displayed for</w:t>
      </w:r>
      <w:r w:rsidRPr="0085092B">
        <w:rPr>
          <w:rFonts w:ascii="Palatino Linotype" w:eastAsia="Times New Roman" w:hAnsi="Palatino Linotype"/>
          <w:color w:val="222222"/>
          <w:sz w:val="24"/>
          <w:szCs w:val="24"/>
        </w:rPr>
        <w:t xml:space="preserve"> the locations of 59 NEE1 </w:t>
      </w:r>
      <w:r>
        <w:rPr>
          <w:rFonts w:ascii="Palatino Linotype" w:eastAsia="Times New Roman" w:hAnsi="Palatino Linotype"/>
          <w:color w:val="222222"/>
          <w:sz w:val="24"/>
          <w:szCs w:val="24"/>
        </w:rPr>
        <w:t xml:space="preserve"> </w:t>
      </w:r>
      <w:r w:rsidRPr="0085092B">
        <w:rPr>
          <w:rFonts w:ascii="Palatino Linotype" w:eastAsia="Times New Roman" w:hAnsi="Palatino Linotype"/>
          <w:color w:val="222222"/>
          <w:sz w:val="24"/>
          <w:szCs w:val="24"/>
        </w:rPr>
        <w:fldChar w:fldCharType="begin" w:fldLock="1"/>
      </w:r>
      <w:r>
        <w:rPr>
          <w:rFonts w:ascii="Palatino Linotype" w:eastAsia="Times New Roman" w:hAnsi="Palatino Linotype"/>
          <w:color w:val="222222"/>
          <w:sz w:val="24"/>
          <w:szCs w:val="24"/>
        </w:rPr>
        <w:instrText>ADDIN CSL_CITATION {"citationItems":[{"id":"ITEM-1","itemData":{"DOI":"10.1016/j.agrformet.2017.05.015","ISSN":"01681923","abstract":"As the lifetime of regional flux networks approach twenty years, there is a growing number of papers that have published long term records (5 years or more) of net carbon fluxes between ecosystems and the atmosphere. Unanswered questions from this body of work are: 1) how variable are carbon fluxes on a year to year basis?; 2) what are the biophysical factors that may cause interannual variability and/or temporal trends in carbon fluxes?; and 3) how does the biophysical control on this carbon flux variability differ by climate and ecological spaces? To address these questions, we surveyed published data from 59 sites that reported on five or more years of continuous measurements, yielding 544 site-years of data. We found that the standard deviation of the interannual variability in net ecosystem carbon exchange (162 gC m−2 y−1) is large relative to its population mean (−200 gC m−2 y−1). Broad-leaved evergreen forests and crops experienced the greatest absolute variability in interannual net carbon exchange (greater than ±300 gC m−2 y−1) and boreal evergreen forests and maritime wetlands were among the least variable (less than ±40 gC m−2 y−1). A disproportionate fraction of the yearly variability in net ecosystem exchange was associated with biophysical factors that modulated ecosystem photosynthesis rather than ecosystem respiration. Yet, there was appreciable and statistically significant covariance between ecosystem photosynthesis and respiration. Consequently, biophysical conditions that conspired to increase ecosystem photosynthesis to from one year to the next were associated with an increase in ecosystem respiration, and vice versa; on average, the year to year change in respiration was 40% as large as the year to year change in photosynthesis. The analysis also identified sets of ecosystems that are on the verge of switching from being carbon sinks to carbon sources. These include sites in the Arctic tundra, the evergreen forests in the Pacific northwest and some grasslands, where year to year changes in respiration are outpacing those in photosynthesis. While a select set of climatic and ecological factors (e.g. light, rainfall, temperature, phenology) played direct and indirect roles on this variability, their impact differed conditionally, as well as by climate and ecological spaces. For example, rainfall had both positive and negative effects. Deficient rainfall caused a physiological decline in photosynthesis in temperate and semi-arid regi…","author":[{"dropping-particle":"","family":"Baldocchi","given":"Dennis","non-dropping-particle":"","parse-names":false,"suffix":""},{"dropping-particle":"","family":"Chu","given":"Housen","non-dropping-particle":"","parse-names":false,"suffix":""},{"dropping-particle":"","family":"Reichstein","given":"Markus","non-dropping-particle":"","parse-names":false,"suffix":""}],"container-title":"Agricultural and Forest Meteorology","id":"ITEM-1","issued":{"date-parts":[["2018","2","15"]]},"page":"520-533","publisher":"Elsevier B.V.","title":"Inter-annual variability of net and gross ecosystem carbon fluxes: A review","type":"article-journal","volume":"249"},"uris":["http://www.mendeley.com/documents/?uuid=3514bdd3-44cb-3433-90e8-8c819190ae29"]}],"mendeley":{"formattedCitation":"(D. Baldocchi, Chu, and Reichstein 2018)","plainTextFormattedCitation":"(D. Baldocchi, Chu, and Reichstein 2018)","previouslyFormattedCitation":"(D. Baldocchi, Chu, and Reichstein 2018)"},"properties":{"noteIndex":0},"schema":"https://github.com/citation-style-language/schema/raw/master/csl-citation.json"}</w:instrText>
      </w:r>
      <w:r w:rsidRPr="0085092B">
        <w:rPr>
          <w:rFonts w:ascii="Palatino Linotype" w:eastAsia="Times New Roman" w:hAnsi="Palatino Linotype"/>
          <w:color w:val="222222"/>
          <w:sz w:val="24"/>
          <w:szCs w:val="24"/>
        </w:rPr>
        <w:fldChar w:fldCharType="separate"/>
      </w:r>
      <w:r w:rsidRPr="0050293C">
        <w:rPr>
          <w:rFonts w:ascii="Palatino Linotype" w:eastAsia="Times New Roman" w:hAnsi="Palatino Linotype"/>
          <w:noProof/>
          <w:color w:val="222222"/>
          <w:sz w:val="24"/>
          <w:szCs w:val="24"/>
        </w:rPr>
        <w:t>(D. Baldocchi, Chu, and Reichstein 2018)</w:t>
      </w:r>
      <w:r w:rsidRPr="0085092B">
        <w:rPr>
          <w:rFonts w:ascii="Palatino Linotype" w:eastAsia="Times New Roman" w:hAnsi="Palatino Linotype"/>
          <w:color w:val="222222"/>
          <w:sz w:val="24"/>
          <w:szCs w:val="24"/>
        </w:rPr>
        <w:fldChar w:fldCharType="end"/>
      </w:r>
      <w:r w:rsidRPr="0085092B">
        <w:rPr>
          <w:rFonts w:ascii="Palatino Linotype" w:eastAsia="Times New Roman" w:hAnsi="Palatino Linotype"/>
          <w:color w:val="222222"/>
          <w:sz w:val="24"/>
          <w:szCs w:val="24"/>
        </w:rPr>
        <w:t xml:space="preserve"> and </w:t>
      </w:r>
      <w:r w:rsidRPr="0085092B">
        <w:rPr>
          <w:rFonts w:ascii="Palatino Linotype" w:eastAsia="Times New Roman" w:hAnsi="Palatino Linotype"/>
          <w:color w:val="222222"/>
          <w:sz w:val="24"/>
          <w:szCs w:val="24"/>
          <w:shd w:val="clear" w:color="auto" w:fill="FFFFFF"/>
        </w:rPr>
        <w:t>63</w:t>
      </w:r>
      <w:r w:rsidRPr="0085092B">
        <w:rPr>
          <w:rFonts w:ascii="Palatino Linotype" w:eastAsia="Times New Roman" w:hAnsi="Palatino Linotype"/>
          <w:color w:val="222222"/>
          <w:sz w:val="24"/>
          <w:szCs w:val="24"/>
        </w:rPr>
        <w:t> CARB-CAR project sites (see Methods section for details). Information for each site, including the underlying biome</w:t>
      </w:r>
      <w:r>
        <w:rPr>
          <w:rFonts w:ascii="Palatino Linotype" w:eastAsia="Times New Roman" w:hAnsi="Palatino Linotype"/>
          <w:color w:val="222222"/>
          <w:sz w:val="24"/>
          <w:szCs w:val="24"/>
        </w:rPr>
        <w:t xml:space="preserve"> and </w:t>
      </w:r>
      <w:r w:rsidRPr="0085092B">
        <w:rPr>
          <w:rFonts w:ascii="Palatino Linotype" w:eastAsia="Times New Roman" w:hAnsi="Palatino Linotype"/>
          <w:color w:val="222222"/>
          <w:sz w:val="24"/>
          <w:szCs w:val="24"/>
        </w:rPr>
        <w:t xml:space="preserve">land cover classification is provided, allowing users to compare the underlying ecological properties for a given project site with other sites. </w:t>
      </w:r>
      <w:r>
        <w:rPr>
          <w:rFonts w:ascii="Palatino Linotype" w:eastAsia="Times New Roman" w:hAnsi="Palatino Linotype"/>
          <w:color w:val="222222"/>
          <w:sz w:val="24"/>
          <w:szCs w:val="24"/>
        </w:rPr>
        <w:t xml:space="preserve">A toggle is provided to move between the screens with biomes, land cover and boundary lines. </w:t>
      </w:r>
      <w:r w:rsidRPr="0085092B">
        <w:rPr>
          <w:rFonts w:ascii="Palatino Linotype" w:eastAsia="Times New Roman" w:hAnsi="Palatino Linotype"/>
          <w:color w:val="222222"/>
          <w:sz w:val="24"/>
          <w:szCs w:val="24"/>
        </w:rPr>
        <w:t xml:space="preserve">Each project site point </w:t>
      </w:r>
      <w:r>
        <w:rPr>
          <w:rFonts w:ascii="Palatino Linotype" w:eastAsia="Times New Roman" w:hAnsi="Palatino Linotype"/>
          <w:color w:val="222222"/>
          <w:sz w:val="24"/>
          <w:szCs w:val="24"/>
        </w:rPr>
        <w:t>is</w:t>
      </w:r>
      <w:r w:rsidRPr="0085092B">
        <w:rPr>
          <w:rFonts w:ascii="Palatino Linotype" w:eastAsia="Times New Roman" w:hAnsi="Palatino Linotype"/>
          <w:color w:val="222222"/>
          <w:sz w:val="24"/>
          <w:szCs w:val="24"/>
        </w:rPr>
        <w:t xml:space="preserve"> geocoded or otherwise plotted in WGS84 coordinate system using the best available latitude and longitude information for each location. Blue circles represent NEE1</w:t>
      </w:r>
      <w:r>
        <w:rPr>
          <w:rFonts w:ascii="Palatino Linotype" w:eastAsia="Times New Roman" w:hAnsi="Palatino Linotype"/>
          <w:color w:val="222222"/>
          <w:sz w:val="24"/>
          <w:szCs w:val="24"/>
        </w:rPr>
        <w:t>,</w:t>
      </w:r>
      <w:r w:rsidRPr="0085092B">
        <w:rPr>
          <w:rFonts w:ascii="Palatino Linotype" w:eastAsia="Times New Roman" w:hAnsi="Palatino Linotype"/>
          <w:color w:val="222222"/>
          <w:sz w:val="24"/>
          <w:szCs w:val="24"/>
        </w:rPr>
        <w:t xml:space="preserve"> pink circles represent CARB-CAR projects. All sites on the map feature a unique site identifier code (e.g., CAR697)  which is linked to project data in Table 1 and </w:t>
      </w:r>
      <w:r w:rsidRPr="0085092B">
        <w:rPr>
          <w:rFonts w:ascii="Palatino Linotype" w:eastAsia="Calibri" w:hAnsi="Palatino Linotype" w:cs="Calibri"/>
          <w:sz w:val="24"/>
          <w:szCs w:val="24"/>
        </w:rPr>
        <w:t>summarized in Table I, Supplement</w:t>
      </w:r>
      <w:r>
        <w:rPr>
          <w:rFonts w:ascii="Palatino Linotype" w:eastAsia="Calibri" w:hAnsi="Palatino Linotype" w:cs="Calibri"/>
          <w:sz w:val="24"/>
          <w:szCs w:val="24"/>
        </w:rPr>
        <w:t>s</w:t>
      </w:r>
      <w:r w:rsidRPr="0085092B">
        <w:rPr>
          <w:rFonts w:ascii="Palatino Linotype" w:eastAsia="Calibri" w:hAnsi="Palatino Linotype" w:cs="Calibri"/>
          <w:sz w:val="24"/>
          <w:szCs w:val="24"/>
        </w:rPr>
        <w:t xml:space="preserve"> </w:t>
      </w:r>
      <w:r>
        <w:rPr>
          <w:rFonts w:ascii="Palatino Linotype" w:eastAsia="Calibri" w:hAnsi="Palatino Linotype" w:cs="Calibri"/>
          <w:sz w:val="24"/>
          <w:szCs w:val="24"/>
        </w:rPr>
        <w:t>3-5</w:t>
      </w:r>
      <w:r w:rsidRPr="0085092B">
        <w:rPr>
          <w:rFonts w:ascii="Palatino Linotype" w:eastAsia="Calibri" w:hAnsi="Palatino Linotype" w:cs="Calibri"/>
          <w:sz w:val="24"/>
          <w:szCs w:val="24"/>
        </w:rPr>
        <w:t>.</w:t>
      </w:r>
      <w:r w:rsidRPr="0085092B">
        <w:rPr>
          <w:rFonts w:ascii="Palatino Linotype" w:eastAsia="Times New Roman" w:hAnsi="Palatino Linotype"/>
          <w:color w:val="222222"/>
          <w:sz w:val="24"/>
          <w:szCs w:val="24"/>
        </w:rPr>
        <w:t xml:space="preserve"> </w:t>
      </w:r>
      <w:r>
        <w:rPr>
          <w:rFonts w:ascii="Palatino Linotype" w:eastAsia="Times New Roman" w:hAnsi="Palatino Linotype"/>
          <w:color w:val="222222"/>
          <w:sz w:val="24"/>
          <w:szCs w:val="24"/>
        </w:rPr>
        <w:t xml:space="preserve">Clusters of sites are shown in blue circles. </w:t>
      </w:r>
      <w:r w:rsidRPr="0085092B">
        <w:rPr>
          <w:rFonts w:ascii="Palatino Linotype" w:eastAsia="Times New Roman" w:hAnsi="Palatino Linotype"/>
          <w:color w:val="222222"/>
          <w:sz w:val="24"/>
          <w:szCs w:val="24"/>
        </w:rPr>
        <w:t xml:space="preserve">A link to the project web page for each site is included in the pop-up display. CARB-CAR and NEE1 sites were classified for functional type based on the 2015 </w:t>
      </w:r>
      <w:r w:rsidR="00A66AF7">
        <w:rPr>
          <w:rFonts w:ascii="Palatino Linotype" w:eastAsia="Times New Roman" w:hAnsi="Palatino Linotype"/>
          <w:color w:val="222222"/>
          <w:sz w:val="24"/>
          <w:szCs w:val="24"/>
        </w:rPr>
        <w:t>Climate Change Initiative Land Cover (</w:t>
      </w:r>
      <w:r w:rsidRPr="0085092B">
        <w:rPr>
          <w:rFonts w:ascii="Palatino Linotype" w:eastAsia="Times New Roman" w:hAnsi="Palatino Linotype"/>
          <w:color w:val="222222"/>
          <w:sz w:val="24"/>
          <w:szCs w:val="24"/>
        </w:rPr>
        <w:t>CCI-LC</w:t>
      </w:r>
      <w:r w:rsidR="00A66AF7">
        <w:rPr>
          <w:rFonts w:ascii="Palatino Linotype" w:eastAsia="Times New Roman" w:hAnsi="Palatino Linotype"/>
          <w:color w:val="222222"/>
          <w:sz w:val="24"/>
          <w:szCs w:val="24"/>
        </w:rPr>
        <w:t>)</w:t>
      </w:r>
      <w:r w:rsidRPr="0085092B">
        <w:rPr>
          <w:rFonts w:ascii="Palatino Linotype" w:eastAsia="Times New Roman" w:hAnsi="Palatino Linotype"/>
          <w:color w:val="222222"/>
          <w:sz w:val="24"/>
          <w:szCs w:val="24"/>
        </w:rPr>
        <w:t xml:space="preserve"> dataset</w:t>
      </w:r>
      <w:r w:rsidR="00A66AF7">
        <w:rPr>
          <w:rFonts w:ascii="Palatino Linotype" w:eastAsia="Times New Roman" w:hAnsi="Palatino Linotype"/>
          <w:color w:val="222222"/>
          <w:sz w:val="24"/>
          <w:szCs w:val="24"/>
        </w:rPr>
        <w:t xml:space="preserve"> (</w:t>
      </w:r>
      <w:hyperlink r:id="rId6" w:tgtFrame="_blank" w:history="1">
        <w:r w:rsidR="00A66AF7" w:rsidRPr="0085092B">
          <w:rPr>
            <w:rFonts w:ascii="Palatino Linotype" w:eastAsia="Times New Roman" w:hAnsi="Palatino Linotype"/>
            <w:color w:val="1155CC"/>
            <w:sz w:val="24"/>
            <w:szCs w:val="24"/>
            <w:u w:val="single"/>
          </w:rPr>
          <w:t>https://www.esa-landcover-cci.org</w:t>
        </w:r>
      </w:hyperlink>
      <w:r w:rsidR="00A66AF7">
        <w:rPr>
          <w:rFonts w:ascii="Palatino Linotype" w:eastAsia="Times New Roman" w:hAnsi="Palatino Linotype"/>
          <w:color w:val="1155CC"/>
          <w:sz w:val="24"/>
          <w:szCs w:val="24"/>
          <w:u w:val="single"/>
        </w:rPr>
        <w:t xml:space="preserve">). </w:t>
      </w:r>
      <w:r w:rsidR="00A66AF7" w:rsidRPr="0085092B">
        <w:rPr>
          <w:rFonts w:ascii="Palatino Linotype" w:eastAsia="Times New Roman" w:hAnsi="Palatino Linotype"/>
          <w:color w:val="222222"/>
          <w:sz w:val="24"/>
          <w:szCs w:val="24"/>
        </w:rPr>
        <w:t>This Land Cover product was developed by the European Space Agency Climate Change Initiative (ESA CCI Land Cover project). The land cover overlay represents a 300-meter resolution global land cover classification and is compatible with the plant functional types used in many global land cover models. </w:t>
      </w:r>
      <w:r w:rsidRPr="0085092B">
        <w:rPr>
          <w:rFonts w:ascii="Palatino Linotype" w:eastAsia="Times New Roman" w:hAnsi="Palatino Linotype"/>
          <w:color w:val="222222"/>
          <w:sz w:val="24"/>
          <w:szCs w:val="24"/>
        </w:rPr>
        <w:t>The base map provided is Satellite Streets by Mapbox (</w:t>
      </w:r>
      <w:hyperlink r:id="rId7" w:tgtFrame="_blank" w:history="1">
        <w:r w:rsidRPr="0085092B">
          <w:rPr>
            <w:rFonts w:ascii="Palatino Linotype" w:eastAsia="Times New Roman" w:hAnsi="Palatino Linotype"/>
            <w:color w:val="1155CC"/>
            <w:sz w:val="24"/>
            <w:szCs w:val="24"/>
            <w:u w:val="single"/>
          </w:rPr>
          <w:t>https://www.mapbox.com</w:t>
        </w:r>
      </w:hyperlink>
      <w:r w:rsidRPr="0085092B">
        <w:rPr>
          <w:rFonts w:ascii="Palatino Linotype" w:eastAsia="Times New Roman" w:hAnsi="Palatino Linotype"/>
          <w:color w:val="222222"/>
          <w:sz w:val="24"/>
          <w:szCs w:val="24"/>
        </w:rPr>
        <w:t>). </w:t>
      </w:r>
      <w:r w:rsidRPr="006820E1">
        <w:rPr>
          <w:rFonts w:ascii="Palatino Linotype" w:eastAsia="Times New Roman" w:hAnsi="Palatino Linotype"/>
          <w:color w:val="222222"/>
          <w:sz w:val="24"/>
          <w:szCs w:val="24"/>
        </w:rPr>
        <w:t xml:space="preserve">Primary biome classification data is displayed using Level I Ecoregions for North America, published by the US EPA Commission for Environmental Cooperation. This classification represents the highest level of </w:t>
      </w:r>
      <w:r w:rsidRPr="006820E1">
        <w:rPr>
          <w:rFonts w:ascii="Palatino Linotype" w:eastAsia="Times New Roman" w:hAnsi="Palatino Linotype"/>
          <w:color w:val="222222"/>
          <w:sz w:val="24"/>
          <w:szCs w:val="24"/>
        </w:rPr>
        <w:lastRenderedPageBreak/>
        <w:t xml:space="preserve">ecologically distinct areas and is divided among 15 classifications. This provides a broad level classification for the underlying ecosystem, grouping similar discrete biomes and establishing boundaries between transitional zones. The PEM </w:t>
      </w:r>
      <w:proofErr w:type="spellStart"/>
      <w:r w:rsidRPr="006820E1">
        <w:rPr>
          <w:rFonts w:ascii="Palatino Linotype" w:eastAsia="Times New Roman" w:hAnsi="Palatino Linotype"/>
          <w:color w:val="222222"/>
          <w:sz w:val="24"/>
          <w:szCs w:val="24"/>
        </w:rPr>
        <w:t>FluxMap</w:t>
      </w:r>
      <w:proofErr w:type="spellEnd"/>
      <w:r w:rsidRPr="006820E1">
        <w:rPr>
          <w:rFonts w:ascii="Palatino Linotype" w:eastAsia="Times New Roman" w:hAnsi="Palatino Linotype"/>
          <w:color w:val="222222"/>
          <w:sz w:val="24"/>
          <w:szCs w:val="24"/>
        </w:rPr>
        <w:t xml:space="preserve"> provides access to both  Level I Ecoregion data, and satellite based land cover classification data (at a much finer spatial resolution), along with satellite and orthophoto based imagery, to demonstrate a combination of the best available information for identifying the underlying environmental resources, in an interactive, spatial format.</w:t>
      </w:r>
      <w:r w:rsidR="002B269B">
        <w:rPr>
          <w:rFonts w:ascii="Palatino Linotype" w:eastAsia="Times New Roman" w:hAnsi="Palatino Linotype"/>
          <w:color w:val="222222"/>
          <w:sz w:val="24"/>
          <w:szCs w:val="24"/>
        </w:rPr>
        <w:t xml:space="preserve"> </w:t>
      </w:r>
      <w:r w:rsidR="00E33937">
        <w:rPr>
          <w:rFonts w:ascii="Palatino Linotype" w:eastAsia="Times New Roman" w:hAnsi="Palatino Linotype" w:cs="Times New Roman"/>
          <w:sz w:val="24"/>
          <w:szCs w:val="24"/>
        </w:rPr>
        <w:t>I</w:t>
      </w:r>
      <w:r w:rsidR="002B269B" w:rsidRPr="00E33937">
        <w:rPr>
          <w:rFonts w:ascii="Palatino Linotype" w:eastAsia="Times New Roman" w:hAnsi="Palatino Linotype" w:cs="Times New Roman"/>
          <w:sz w:val="24"/>
          <w:szCs w:val="24"/>
        </w:rPr>
        <w:t>nteractive map attribution</w:t>
      </w:r>
      <w:r w:rsidR="008002A3">
        <w:rPr>
          <w:rFonts w:ascii="Palatino Linotype" w:eastAsia="Times New Roman" w:hAnsi="Palatino Linotype" w:cs="Times New Roman"/>
          <w:sz w:val="24"/>
          <w:szCs w:val="24"/>
        </w:rPr>
        <w:t>s</w:t>
      </w:r>
      <w:r w:rsidR="002B269B" w:rsidRPr="00E33937">
        <w:rPr>
          <w:rFonts w:ascii="Palatino Linotype" w:eastAsia="Times New Roman" w:hAnsi="Palatino Linotype" w:cs="Times New Roman"/>
          <w:sz w:val="24"/>
          <w:szCs w:val="24"/>
        </w:rPr>
        <w:t xml:space="preserve">: 1) </w:t>
      </w:r>
      <w:r w:rsidR="00A66AF7" w:rsidRPr="00A66AF7">
        <w:rPr>
          <w:rFonts w:ascii="Palatino Linotype" w:eastAsia="Times New Roman" w:hAnsi="Palatino Linotype" w:cs="Times New Roman"/>
          <w:sz w:val="24"/>
          <w:szCs w:val="24"/>
        </w:rPr>
        <w:t xml:space="preserve">The Geocambridge </w:t>
      </w:r>
      <w:r w:rsidR="00E33937">
        <w:rPr>
          <w:rFonts w:ascii="Palatino Linotype" w:eastAsia="Times New Roman" w:hAnsi="Palatino Linotype" w:cs="Times New Roman"/>
          <w:sz w:val="24"/>
          <w:szCs w:val="24"/>
        </w:rPr>
        <w:t xml:space="preserve">and </w:t>
      </w:r>
      <w:proofErr w:type="spellStart"/>
      <w:r w:rsidR="00E33937">
        <w:rPr>
          <w:rFonts w:ascii="Palatino Linotype" w:eastAsia="Times New Roman" w:hAnsi="Palatino Linotype" w:cs="Times New Roman"/>
          <w:sz w:val="24"/>
          <w:szCs w:val="24"/>
        </w:rPr>
        <w:t>PEMfluxmap</w:t>
      </w:r>
      <w:proofErr w:type="spellEnd"/>
      <w:r w:rsidR="00E33937">
        <w:rPr>
          <w:rFonts w:ascii="Palatino Linotype" w:eastAsia="Times New Roman" w:hAnsi="Palatino Linotype" w:cs="Times New Roman"/>
          <w:sz w:val="24"/>
          <w:szCs w:val="24"/>
        </w:rPr>
        <w:t xml:space="preserve"> </w:t>
      </w:r>
      <w:r w:rsidR="00A66AF7" w:rsidRPr="00A66AF7">
        <w:rPr>
          <w:rFonts w:ascii="Palatino Linotype" w:eastAsia="Times New Roman" w:hAnsi="Palatino Linotype" w:cs="Times New Roman"/>
          <w:sz w:val="24"/>
          <w:szCs w:val="24"/>
        </w:rPr>
        <w:t>URL</w:t>
      </w:r>
      <w:r w:rsidR="002B269B" w:rsidRPr="00E33937">
        <w:rPr>
          <w:rFonts w:ascii="Palatino Linotype" w:eastAsia="Times New Roman" w:hAnsi="Palatino Linotype" w:cs="Times New Roman"/>
          <w:sz w:val="24"/>
          <w:szCs w:val="24"/>
        </w:rPr>
        <w:t xml:space="preserve">, image displayed above, interactive functionality and codes </w:t>
      </w:r>
      <w:r w:rsidR="00E33937" w:rsidRPr="00E33937">
        <w:rPr>
          <w:rFonts w:ascii="Palatino Linotype" w:eastAsia="Times New Roman" w:hAnsi="Palatino Linotype" w:cs="Times New Roman"/>
          <w:sz w:val="24"/>
          <w:szCs w:val="24"/>
        </w:rPr>
        <w:t xml:space="preserve">employed to produce the </w:t>
      </w:r>
      <w:r w:rsidR="002B269B" w:rsidRPr="00E33937">
        <w:rPr>
          <w:rFonts w:ascii="Palatino Linotype" w:eastAsia="Times New Roman" w:hAnsi="Palatino Linotype" w:cs="Times New Roman"/>
          <w:sz w:val="24"/>
          <w:szCs w:val="24"/>
        </w:rPr>
        <w:t xml:space="preserve">above are research products of PEM. 2) Mapbox is open source software </w:t>
      </w:r>
      <w:r w:rsidR="00E33937" w:rsidRPr="00E33937">
        <w:rPr>
          <w:rFonts w:ascii="Palatino Linotype" w:eastAsia="Times New Roman" w:hAnsi="Palatino Linotype" w:cs="Times New Roman"/>
          <w:sz w:val="24"/>
          <w:szCs w:val="24"/>
        </w:rPr>
        <w:t xml:space="preserve">providing the </w:t>
      </w:r>
      <w:proofErr w:type="spellStart"/>
      <w:r w:rsidR="00E33937" w:rsidRPr="00E33937">
        <w:rPr>
          <w:rFonts w:ascii="Palatino Linotype" w:eastAsia="Times New Roman" w:hAnsi="Palatino Linotype" w:cs="Times New Roman"/>
          <w:sz w:val="24"/>
          <w:szCs w:val="24"/>
        </w:rPr>
        <w:t>basemap</w:t>
      </w:r>
      <w:proofErr w:type="spellEnd"/>
      <w:r w:rsidR="00E33937" w:rsidRPr="00E33937">
        <w:rPr>
          <w:rFonts w:ascii="Palatino Linotype" w:eastAsia="Times New Roman" w:hAnsi="Palatino Linotype" w:cs="Times New Roman"/>
          <w:sz w:val="24"/>
          <w:szCs w:val="24"/>
        </w:rPr>
        <w:t xml:space="preserve"> </w:t>
      </w:r>
      <w:r w:rsidR="002B269B" w:rsidRPr="00E33937">
        <w:rPr>
          <w:rFonts w:ascii="Palatino Linotype" w:eastAsia="Times New Roman" w:hAnsi="Palatino Linotype" w:cs="Times New Roman"/>
          <w:sz w:val="24"/>
          <w:szCs w:val="24"/>
        </w:rPr>
        <w:t>(</w:t>
      </w:r>
      <w:hyperlink r:id="rId8" w:history="1">
        <w:r w:rsidR="002B269B" w:rsidRPr="00E33937">
          <w:rPr>
            <w:rFonts w:ascii="Palatino Linotype" w:hAnsi="Palatino Linotype"/>
            <w:color w:val="0000FF"/>
            <w:sz w:val="24"/>
            <w:szCs w:val="24"/>
            <w:u w:val="single"/>
          </w:rPr>
          <w:t>https://www.mapbox.com/about/open/</w:t>
        </w:r>
      </w:hyperlink>
      <w:r w:rsidR="002B269B" w:rsidRPr="00E33937">
        <w:rPr>
          <w:rFonts w:ascii="Palatino Linotype" w:hAnsi="Palatino Linotype"/>
          <w:sz w:val="24"/>
          <w:szCs w:val="24"/>
        </w:rPr>
        <w:t>)</w:t>
      </w:r>
      <w:r w:rsidR="008002A3">
        <w:rPr>
          <w:rFonts w:ascii="Palatino Linotype" w:hAnsi="Palatino Linotype"/>
          <w:sz w:val="24"/>
          <w:szCs w:val="24"/>
        </w:rPr>
        <w:t>,</w:t>
      </w:r>
      <w:r w:rsidR="00E33937" w:rsidRPr="00E33937">
        <w:rPr>
          <w:rFonts w:ascii="Palatino Linotype" w:hAnsi="Palatino Linotype"/>
          <w:sz w:val="24"/>
          <w:szCs w:val="24"/>
        </w:rPr>
        <w:t xml:space="preserve"> attribution </w:t>
      </w:r>
      <w:r w:rsidR="008002A3">
        <w:rPr>
          <w:rFonts w:ascii="Palatino Linotype" w:hAnsi="Palatino Linotype"/>
          <w:sz w:val="24"/>
          <w:szCs w:val="24"/>
        </w:rPr>
        <w:t xml:space="preserve">is </w:t>
      </w:r>
      <w:r w:rsidR="00E33937" w:rsidRPr="00E33937">
        <w:rPr>
          <w:rFonts w:ascii="Palatino Linotype" w:hAnsi="Palatino Linotype"/>
          <w:sz w:val="24"/>
          <w:szCs w:val="24"/>
        </w:rPr>
        <w:t>labeled within the image screen</w:t>
      </w:r>
      <w:r w:rsidR="002B269B" w:rsidRPr="00E33937">
        <w:rPr>
          <w:rFonts w:ascii="Palatino Linotype" w:hAnsi="Palatino Linotype"/>
          <w:sz w:val="24"/>
          <w:szCs w:val="24"/>
        </w:rPr>
        <w:t xml:space="preserve">. 3) </w:t>
      </w:r>
      <w:r w:rsidR="002B269B" w:rsidRPr="00A66AF7">
        <w:rPr>
          <w:rFonts w:ascii="Palatino Linotype" w:eastAsia="Times New Roman" w:hAnsi="Palatino Linotype" w:cs="Times New Roman"/>
          <w:sz w:val="24"/>
          <w:szCs w:val="24"/>
        </w:rPr>
        <w:t xml:space="preserve">The </w:t>
      </w:r>
      <w:r w:rsidR="00E33937" w:rsidRPr="00E33937">
        <w:rPr>
          <w:rFonts w:ascii="Palatino Linotype" w:eastAsia="Times New Roman" w:hAnsi="Palatino Linotype" w:cs="Times New Roman"/>
          <w:sz w:val="24"/>
          <w:szCs w:val="24"/>
        </w:rPr>
        <w:t xml:space="preserve">GIS </w:t>
      </w:r>
      <w:r w:rsidR="002B269B" w:rsidRPr="00A66AF7">
        <w:rPr>
          <w:rFonts w:ascii="Palatino Linotype" w:eastAsia="Times New Roman" w:hAnsi="Palatino Linotype" w:cs="Times New Roman"/>
          <w:sz w:val="24"/>
          <w:szCs w:val="24"/>
        </w:rPr>
        <w:t xml:space="preserve">land cover overlay shown is provided by the US EPA, </w:t>
      </w:r>
      <w:r w:rsidR="00E33937" w:rsidRPr="00E33937">
        <w:rPr>
          <w:rFonts w:ascii="Palatino Linotype" w:eastAsia="Times New Roman" w:hAnsi="Palatino Linotype" w:cs="Times New Roman"/>
          <w:sz w:val="24"/>
          <w:szCs w:val="24"/>
        </w:rPr>
        <w:t xml:space="preserve">open source </w:t>
      </w:r>
      <w:r w:rsidR="002B269B" w:rsidRPr="00A66AF7">
        <w:rPr>
          <w:rFonts w:ascii="Palatino Linotype" w:eastAsia="Times New Roman" w:hAnsi="Palatino Linotype" w:cs="Times New Roman"/>
          <w:sz w:val="24"/>
          <w:szCs w:val="24"/>
        </w:rPr>
        <w:t>metadata</w:t>
      </w:r>
      <w:r w:rsidR="001834DD">
        <w:rPr>
          <w:rFonts w:ascii="Palatino Linotype" w:eastAsia="Times New Roman" w:hAnsi="Palatino Linotype" w:cs="Times New Roman"/>
          <w:sz w:val="24"/>
          <w:szCs w:val="24"/>
        </w:rPr>
        <w:t xml:space="preserve"> (</w:t>
      </w:r>
      <w:hyperlink r:id="rId9" w:history="1">
        <w:r w:rsidR="001834DD" w:rsidRPr="00E33937">
          <w:rPr>
            <w:rFonts w:ascii="Palatino Linotype" w:hAnsi="Palatino Linotype"/>
            <w:color w:val="0000FF"/>
            <w:sz w:val="24"/>
            <w:szCs w:val="24"/>
            <w:u w:val="single"/>
          </w:rPr>
          <w:t>https://www.data.gov/open-gov/</w:t>
        </w:r>
      </w:hyperlink>
      <w:r w:rsidR="001834DD">
        <w:rPr>
          <w:rFonts w:ascii="Palatino Linotype" w:hAnsi="Palatino Linotype"/>
          <w:sz w:val="24"/>
          <w:szCs w:val="24"/>
        </w:rPr>
        <w:t>)</w:t>
      </w:r>
      <w:r w:rsidR="002B269B" w:rsidRPr="00A66AF7">
        <w:rPr>
          <w:rFonts w:ascii="Palatino Linotype" w:eastAsia="Times New Roman" w:hAnsi="Palatino Linotype" w:cs="Times New Roman"/>
          <w:sz w:val="24"/>
          <w:szCs w:val="24"/>
        </w:rPr>
        <w:t xml:space="preserve"> </w:t>
      </w:r>
      <w:r w:rsidR="00E33937" w:rsidRPr="00E33937">
        <w:rPr>
          <w:rFonts w:ascii="Palatino Linotype" w:eastAsia="Times New Roman" w:hAnsi="Palatino Linotype" w:cs="Times New Roman"/>
          <w:sz w:val="24"/>
          <w:szCs w:val="24"/>
        </w:rPr>
        <w:t xml:space="preserve">and </w:t>
      </w:r>
      <w:r w:rsidR="002B269B" w:rsidRPr="00A66AF7">
        <w:rPr>
          <w:rFonts w:ascii="Palatino Linotype" w:eastAsia="Times New Roman" w:hAnsi="Palatino Linotype" w:cs="Times New Roman"/>
          <w:sz w:val="24"/>
          <w:szCs w:val="24"/>
        </w:rPr>
        <w:t>is available here: </w:t>
      </w:r>
    </w:p>
    <w:p w14:paraId="0D92F7F5" w14:textId="7CFF1A6F" w:rsidR="00A66AF7" w:rsidRPr="00A66AF7" w:rsidRDefault="00831227" w:rsidP="00A66AF7">
      <w:pPr>
        <w:spacing w:after="0" w:line="240" w:lineRule="auto"/>
        <w:rPr>
          <w:rFonts w:ascii="Palatino Linotype" w:eastAsia="Times New Roman" w:hAnsi="Palatino Linotype" w:cs="Times New Roman"/>
          <w:sz w:val="24"/>
          <w:szCs w:val="24"/>
        </w:rPr>
      </w:pPr>
      <w:hyperlink r:id="rId10" w:tgtFrame="_blank" w:history="1">
        <w:r w:rsidR="002B269B" w:rsidRPr="00A66AF7">
          <w:rPr>
            <w:rFonts w:ascii="Palatino Linotype" w:eastAsia="Times New Roman" w:hAnsi="Palatino Linotype" w:cs="Times New Roman"/>
            <w:color w:val="1155CC"/>
            <w:sz w:val="24"/>
            <w:szCs w:val="24"/>
            <w:u w:val="single"/>
          </w:rPr>
          <w:t>ftp://newftp.epa.gov/EPADataCommons/ORD/Ecoregions/cec_na/NA_CEC_Eco_Level1.htm</w:t>
        </w:r>
      </w:hyperlink>
      <w:r w:rsidR="00E33937" w:rsidRPr="00E33937">
        <w:rPr>
          <w:rFonts w:ascii="Palatino Linotype" w:eastAsia="Times New Roman" w:hAnsi="Palatino Linotype" w:cs="Times New Roman"/>
          <w:sz w:val="24"/>
          <w:szCs w:val="24"/>
        </w:rPr>
        <w:t xml:space="preserve">. </w:t>
      </w:r>
    </w:p>
    <w:p w14:paraId="41C1C60C" w14:textId="77777777" w:rsidR="00A66AF7" w:rsidRPr="00A66AF7" w:rsidRDefault="00A66AF7" w:rsidP="00A66AF7">
      <w:pPr>
        <w:spacing w:after="0" w:line="240" w:lineRule="auto"/>
        <w:rPr>
          <w:rFonts w:ascii="Times New Roman" w:eastAsia="Times New Roman" w:hAnsi="Times New Roman" w:cs="Times New Roman"/>
          <w:sz w:val="24"/>
          <w:szCs w:val="24"/>
        </w:rPr>
      </w:pPr>
    </w:p>
    <w:p w14:paraId="6F5DDDAB" w14:textId="52F2966B" w:rsidR="00A66AF7" w:rsidRPr="00A66AF7" w:rsidRDefault="00A66AF7" w:rsidP="00A66AF7">
      <w:pPr>
        <w:spacing w:after="0" w:line="240" w:lineRule="auto"/>
        <w:rPr>
          <w:rFonts w:ascii="Times New Roman" w:eastAsia="Times New Roman" w:hAnsi="Times New Roman" w:cs="Times New Roman"/>
          <w:sz w:val="24"/>
          <w:szCs w:val="24"/>
        </w:rPr>
      </w:pPr>
    </w:p>
    <w:p w14:paraId="7F0DCA4D" w14:textId="77777777" w:rsidR="00A66AF7" w:rsidRPr="00A66AF7" w:rsidRDefault="00A66AF7" w:rsidP="00A66AF7">
      <w:pPr>
        <w:spacing w:after="0" w:line="240" w:lineRule="auto"/>
        <w:rPr>
          <w:rFonts w:ascii="Times New Roman" w:eastAsia="Times New Roman" w:hAnsi="Times New Roman" w:cs="Times New Roman"/>
          <w:sz w:val="24"/>
          <w:szCs w:val="24"/>
        </w:rPr>
      </w:pPr>
    </w:p>
    <w:p w14:paraId="1BF7F43A" w14:textId="77777777" w:rsidR="00A66AF7" w:rsidRDefault="00A66AF7"/>
    <w:sectPr w:rsidR="00A66AF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D0E"/>
    <w:rsid w:val="001834DD"/>
    <w:rsid w:val="002B269B"/>
    <w:rsid w:val="0032399F"/>
    <w:rsid w:val="006D60FD"/>
    <w:rsid w:val="008002A3"/>
    <w:rsid w:val="00831227"/>
    <w:rsid w:val="00A66AF7"/>
    <w:rsid w:val="00AF40AC"/>
    <w:rsid w:val="00BF2D0E"/>
    <w:rsid w:val="00E339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3C68E"/>
  <w15:chartTrackingRefBased/>
  <w15:docId w15:val="{D506F289-3419-4D0D-812F-97E87F9B8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2D0E"/>
    <w:rPr>
      <w:rFonts w:eastAsiaTheme="minorEastAsia"/>
    </w:rPr>
  </w:style>
  <w:style w:type="paragraph" w:styleId="Heading4">
    <w:name w:val="heading 4"/>
    <w:basedOn w:val="Normal"/>
    <w:next w:val="Normal"/>
    <w:link w:val="Heading4Char"/>
    <w:uiPriority w:val="9"/>
    <w:unhideWhenUsed/>
    <w:qFormat/>
    <w:rsid w:val="00BF2D0E"/>
    <w:pPr>
      <w:keepNext/>
      <w:keepLines/>
      <w:spacing w:before="120" w:after="0"/>
      <w:outlineLvl w:val="3"/>
    </w:pPr>
    <w:rPr>
      <w:rFonts w:asciiTheme="majorHAnsi" w:eastAsiaTheme="majorEastAsia" w:hAnsiTheme="majorHAnsi" w:cstheme="majorBidi"/>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BF2D0E"/>
    <w:rPr>
      <w:rFonts w:asciiTheme="majorHAnsi" w:eastAsiaTheme="majorEastAsia" w:hAnsiTheme="majorHAnsi" w:cstheme="majorBidi"/>
      <w:caps/>
    </w:rPr>
  </w:style>
  <w:style w:type="paragraph" w:customStyle="1" w:styleId="Normal1">
    <w:name w:val="Normal1"/>
    <w:rsid w:val="00BF2D0E"/>
    <w:rPr>
      <w:rFonts w:eastAsiaTheme="minorEastAsia"/>
    </w:rPr>
  </w:style>
  <w:style w:type="character" w:styleId="Hyperlink">
    <w:name w:val="Hyperlink"/>
    <w:basedOn w:val="DefaultParagraphFont"/>
    <w:uiPriority w:val="99"/>
    <w:unhideWhenUsed/>
    <w:rsid w:val="00BF2D0E"/>
    <w:rPr>
      <w:color w:val="0563C1" w:themeColor="hyperlink"/>
      <w:u w:val="single"/>
    </w:rPr>
  </w:style>
  <w:style w:type="paragraph" w:customStyle="1" w:styleId="MDPI12title">
    <w:name w:val="MDPI_1.2_title"/>
    <w:next w:val="Normal"/>
    <w:qFormat/>
    <w:rsid w:val="006D60FD"/>
    <w:pPr>
      <w:adjustRightInd w:val="0"/>
      <w:snapToGrid w:val="0"/>
      <w:spacing w:after="240" w:line="400" w:lineRule="exact"/>
    </w:pPr>
    <w:rPr>
      <w:rFonts w:ascii="Palatino Linotype" w:eastAsia="Times New Roman" w:hAnsi="Palatino Linotype" w:cs="Times New Roman"/>
      <w:b/>
      <w:snapToGrid w:val="0"/>
      <w:color w:val="000000"/>
      <w:sz w:val="36"/>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5791904">
      <w:bodyDiv w:val="1"/>
      <w:marLeft w:val="0"/>
      <w:marRight w:val="0"/>
      <w:marTop w:val="0"/>
      <w:marBottom w:val="0"/>
      <w:divBdr>
        <w:top w:val="none" w:sz="0" w:space="0" w:color="auto"/>
        <w:left w:val="none" w:sz="0" w:space="0" w:color="auto"/>
        <w:bottom w:val="none" w:sz="0" w:space="0" w:color="auto"/>
        <w:right w:val="none" w:sz="0" w:space="0" w:color="auto"/>
      </w:divBdr>
      <w:divsChild>
        <w:div w:id="1975214919">
          <w:marLeft w:val="0"/>
          <w:marRight w:val="0"/>
          <w:marTop w:val="0"/>
          <w:marBottom w:val="0"/>
          <w:divBdr>
            <w:top w:val="none" w:sz="0" w:space="0" w:color="auto"/>
            <w:left w:val="none" w:sz="0" w:space="0" w:color="auto"/>
            <w:bottom w:val="none" w:sz="0" w:space="0" w:color="auto"/>
            <w:right w:val="none" w:sz="0" w:space="0" w:color="auto"/>
          </w:divBdr>
        </w:div>
        <w:div w:id="909116870">
          <w:marLeft w:val="0"/>
          <w:marRight w:val="0"/>
          <w:marTop w:val="0"/>
          <w:marBottom w:val="0"/>
          <w:divBdr>
            <w:top w:val="none" w:sz="0" w:space="0" w:color="auto"/>
            <w:left w:val="none" w:sz="0" w:space="0" w:color="auto"/>
            <w:bottom w:val="none" w:sz="0" w:space="0" w:color="auto"/>
            <w:right w:val="none" w:sz="0" w:space="0" w:color="auto"/>
          </w:divBdr>
        </w:div>
        <w:div w:id="79068308">
          <w:marLeft w:val="0"/>
          <w:marRight w:val="0"/>
          <w:marTop w:val="0"/>
          <w:marBottom w:val="0"/>
          <w:divBdr>
            <w:top w:val="none" w:sz="0" w:space="0" w:color="auto"/>
            <w:left w:val="none" w:sz="0" w:space="0" w:color="auto"/>
            <w:bottom w:val="none" w:sz="0" w:space="0" w:color="auto"/>
            <w:right w:val="none" w:sz="0" w:space="0" w:color="auto"/>
          </w:divBdr>
        </w:div>
        <w:div w:id="2017926368">
          <w:marLeft w:val="0"/>
          <w:marRight w:val="0"/>
          <w:marTop w:val="0"/>
          <w:marBottom w:val="0"/>
          <w:divBdr>
            <w:top w:val="none" w:sz="0" w:space="0" w:color="auto"/>
            <w:left w:val="none" w:sz="0" w:space="0" w:color="auto"/>
            <w:bottom w:val="none" w:sz="0" w:space="0" w:color="auto"/>
            <w:right w:val="none" w:sz="0" w:space="0" w:color="auto"/>
          </w:divBdr>
        </w:div>
        <w:div w:id="1082529740">
          <w:marLeft w:val="0"/>
          <w:marRight w:val="0"/>
          <w:marTop w:val="0"/>
          <w:marBottom w:val="0"/>
          <w:divBdr>
            <w:top w:val="none" w:sz="0" w:space="0" w:color="auto"/>
            <w:left w:val="none" w:sz="0" w:space="0" w:color="auto"/>
            <w:bottom w:val="none" w:sz="0" w:space="0" w:color="auto"/>
            <w:right w:val="none" w:sz="0" w:space="0" w:color="auto"/>
          </w:divBdr>
        </w:div>
        <w:div w:id="2075546580">
          <w:marLeft w:val="0"/>
          <w:marRight w:val="0"/>
          <w:marTop w:val="0"/>
          <w:marBottom w:val="0"/>
          <w:divBdr>
            <w:top w:val="none" w:sz="0" w:space="0" w:color="auto"/>
            <w:left w:val="none" w:sz="0" w:space="0" w:color="auto"/>
            <w:bottom w:val="none" w:sz="0" w:space="0" w:color="auto"/>
            <w:right w:val="none" w:sz="0" w:space="0" w:color="auto"/>
          </w:divBdr>
        </w:div>
        <w:div w:id="482697621">
          <w:marLeft w:val="0"/>
          <w:marRight w:val="0"/>
          <w:marTop w:val="0"/>
          <w:marBottom w:val="0"/>
          <w:divBdr>
            <w:top w:val="none" w:sz="0" w:space="0" w:color="auto"/>
            <w:left w:val="none" w:sz="0" w:space="0" w:color="auto"/>
            <w:bottom w:val="none" w:sz="0" w:space="0" w:color="auto"/>
            <w:right w:val="none" w:sz="0" w:space="0" w:color="auto"/>
          </w:divBdr>
        </w:div>
        <w:div w:id="766731250">
          <w:marLeft w:val="0"/>
          <w:marRight w:val="0"/>
          <w:marTop w:val="0"/>
          <w:marBottom w:val="0"/>
          <w:divBdr>
            <w:top w:val="none" w:sz="0" w:space="0" w:color="auto"/>
            <w:left w:val="none" w:sz="0" w:space="0" w:color="auto"/>
            <w:bottom w:val="none" w:sz="0" w:space="0" w:color="auto"/>
            <w:right w:val="none" w:sz="0" w:space="0" w:color="auto"/>
          </w:divBdr>
        </w:div>
        <w:div w:id="1861703732">
          <w:marLeft w:val="0"/>
          <w:marRight w:val="0"/>
          <w:marTop w:val="0"/>
          <w:marBottom w:val="0"/>
          <w:divBdr>
            <w:top w:val="none" w:sz="0" w:space="0" w:color="auto"/>
            <w:left w:val="none" w:sz="0" w:space="0" w:color="auto"/>
            <w:bottom w:val="none" w:sz="0" w:space="0" w:color="auto"/>
            <w:right w:val="none" w:sz="0" w:space="0" w:color="auto"/>
          </w:divBdr>
        </w:div>
        <w:div w:id="1389038763">
          <w:marLeft w:val="0"/>
          <w:marRight w:val="0"/>
          <w:marTop w:val="0"/>
          <w:marBottom w:val="0"/>
          <w:divBdr>
            <w:top w:val="none" w:sz="0" w:space="0" w:color="auto"/>
            <w:left w:val="none" w:sz="0" w:space="0" w:color="auto"/>
            <w:bottom w:val="none" w:sz="0" w:space="0" w:color="auto"/>
            <w:right w:val="none" w:sz="0" w:space="0" w:color="auto"/>
          </w:divBdr>
        </w:div>
        <w:div w:id="330723572">
          <w:marLeft w:val="0"/>
          <w:marRight w:val="0"/>
          <w:marTop w:val="0"/>
          <w:marBottom w:val="0"/>
          <w:divBdr>
            <w:top w:val="none" w:sz="0" w:space="0" w:color="auto"/>
            <w:left w:val="none" w:sz="0" w:space="0" w:color="auto"/>
            <w:bottom w:val="none" w:sz="0" w:space="0" w:color="auto"/>
            <w:right w:val="none" w:sz="0" w:space="0" w:color="auto"/>
          </w:divBdr>
        </w:div>
        <w:div w:id="2027172838">
          <w:marLeft w:val="0"/>
          <w:marRight w:val="0"/>
          <w:marTop w:val="0"/>
          <w:marBottom w:val="0"/>
          <w:divBdr>
            <w:top w:val="none" w:sz="0" w:space="0" w:color="auto"/>
            <w:left w:val="none" w:sz="0" w:space="0" w:color="auto"/>
            <w:bottom w:val="none" w:sz="0" w:space="0" w:color="auto"/>
            <w:right w:val="none" w:sz="0" w:space="0" w:color="auto"/>
          </w:divBdr>
        </w:div>
        <w:div w:id="572550439">
          <w:marLeft w:val="0"/>
          <w:marRight w:val="0"/>
          <w:marTop w:val="0"/>
          <w:marBottom w:val="0"/>
          <w:divBdr>
            <w:top w:val="none" w:sz="0" w:space="0" w:color="auto"/>
            <w:left w:val="none" w:sz="0" w:space="0" w:color="auto"/>
            <w:bottom w:val="none" w:sz="0" w:space="0" w:color="auto"/>
            <w:right w:val="none" w:sz="0" w:space="0" w:color="auto"/>
          </w:divBdr>
        </w:div>
        <w:div w:id="665783266">
          <w:marLeft w:val="0"/>
          <w:marRight w:val="0"/>
          <w:marTop w:val="0"/>
          <w:marBottom w:val="0"/>
          <w:divBdr>
            <w:top w:val="none" w:sz="0" w:space="0" w:color="auto"/>
            <w:left w:val="none" w:sz="0" w:space="0" w:color="auto"/>
            <w:bottom w:val="none" w:sz="0" w:space="0" w:color="auto"/>
            <w:right w:val="none" w:sz="0" w:space="0" w:color="auto"/>
          </w:divBdr>
        </w:div>
        <w:div w:id="1911887712">
          <w:marLeft w:val="0"/>
          <w:marRight w:val="0"/>
          <w:marTop w:val="0"/>
          <w:marBottom w:val="0"/>
          <w:divBdr>
            <w:top w:val="none" w:sz="0" w:space="0" w:color="auto"/>
            <w:left w:val="none" w:sz="0" w:space="0" w:color="auto"/>
            <w:bottom w:val="none" w:sz="0" w:space="0" w:color="auto"/>
            <w:right w:val="none" w:sz="0" w:space="0" w:color="auto"/>
          </w:divBdr>
        </w:div>
        <w:div w:id="14163177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pbox.com/about/open/" TargetMode="External"/><Relationship Id="rId3" Type="http://schemas.openxmlformats.org/officeDocument/2006/relationships/webSettings" Target="webSettings.xml"/><Relationship Id="rId7" Type="http://schemas.openxmlformats.org/officeDocument/2006/relationships/hyperlink" Target="https://www.mapbox.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esa-landcover-cci.org/"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ftp://newftp.epa.gov/EPADataCommons/ORD/Ecoregions/cec_na/NA_CEC_Eco_Level1.htm" TargetMode="External"/><Relationship Id="rId4" Type="http://schemas.openxmlformats.org/officeDocument/2006/relationships/hyperlink" Target="http://geocambridge.com/PEMfluxmap/" TargetMode="External"/><Relationship Id="rId9" Type="http://schemas.openxmlformats.org/officeDocument/2006/relationships/hyperlink" Target="https://www.data.gov/open-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1064</Words>
  <Characters>6067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bruno marino</dc:creator>
  <cp:keywords/>
  <dc:description/>
  <cp:lastModifiedBy>bruno marino</cp:lastModifiedBy>
  <cp:revision>3</cp:revision>
  <dcterms:created xsi:type="dcterms:W3CDTF">2019-07-20T11:55:00Z</dcterms:created>
  <dcterms:modified xsi:type="dcterms:W3CDTF">2019-07-20T12:45:00Z</dcterms:modified>
</cp:coreProperties>
</file>