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EFD0" w14:textId="6A4B0981" w:rsidR="008060FA" w:rsidRPr="001B67EA" w:rsidRDefault="008060FA" w:rsidP="008060FA">
      <w:pPr>
        <w:pageBreakBefore/>
        <w:contextualSpacing w:val="0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GoBack"/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Table 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S2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:</w:t>
      </w:r>
      <w:r w:rsidRPr="001B67EA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End w:id="0"/>
    </w:p>
    <w:p w14:paraId="3215DC00" w14:textId="77777777" w:rsidR="008060FA" w:rsidRPr="001B67EA" w:rsidRDefault="008060FA" w:rsidP="008060FA">
      <w:pPr>
        <w:contextualSpacing w:val="0"/>
        <w:rPr>
          <w:rFonts w:ascii="Times" w:eastAsia="Times New Roman" w:hAnsi="Times" w:cs="Times"/>
          <w:b/>
          <w:sz w:val="24"/>
          <w:szCs w:val="24"/>
        </w:rPr>
      </w:pP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Models of 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 xml:space="preserve">trap-response 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behavior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s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for Humboldt’s flying squirrels captured on 16 sites during 2 studies in Oregon, USA. We present models ranked based on support using Akaike’s Information Criterion adjusted for sample size (AIC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), change in 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from the top-ranking model (ΔAIC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), 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weight of evidence (w), and the number of parameters (K).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50"/>
        <w:gridCol w:w="705"/>
        <w:gridCol w:w="450"/>
        <w:gridCol w:w="270"/>
      </w:tblGrid>
      <w:tr w:rsidR="008060FA" w:rsidRPr="001B67EA" w14:paraId="652FE1DE" w14:textId="77777777" w:rsidTr="006156E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0BA5B2E3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proofErr w:type="spellStart"/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Model</w:t>
            </w: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6ECC5B7F" w14:textId="77777777" w:rsidR="008060FA" w:rsidRPr="001B67EA" w:rsidRDefault="008060FA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AIC</w:t>
            </w: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0DEF759" w14:textId="77777777" w:rsidR="008060FA" w:rsidRPr="001B67EA" w:rsidRDefault="008060FA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ΔAIC</w:t>
            </w: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74C3CD7F" w14:textId="77777777" w:rsidR="008060FA" w:rsidRPr="001B67EA" w:rsidRDefault="008060FA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6AF7BDF" w14:textId="77777777" w:rsidR="008060FA" w:rsidRPr="001B67EA" w:rsidRDefault="008060FA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K</w:t>
            </w:r>
          </w:p>
        </w:tc>
      </w:tr>
      <w:tr w:rsidR="008060FA" w:rsidRPr="001B67EA" w14:paraId="7A038D8E" w14:textId="77777777" w:rsidTr="006156E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78F8E2E7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p(Time)c(Time)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7F25AF46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148467.01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63C21E44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29101110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686B5E0A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63</w:t>
            </w:r>
          </w:p>
        </w:tc>
      </w:tr>
      <w:tr w:rsidR="008060FA" w:rsidRPr="001B67EA" w14:paraId="0764E70B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755A7E50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p(Null)c(Time)</w:t>
            </w:r>
          </w:p>
        </w:tc>
        <w:tc>
          <w:tcPr>
            <w:tcW w:w="0" w:type="auto"/>
            <w:hideMark/>
          </w:tcPr>
          <w:p w14:paraId="2BACBB79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148495.00</w:t>
            </w:r>
          </w:p>
        </w:tc>
        <w:tc>
          <w:tcPr>
            <w:tcW w:w="0" w:type="auto"/>
            <w:hideMark/>
          </w:tcPr>
          <w:p w14:paraId="1CA0E6E7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27.98</w:t>
            </w:r>
          </w:p>
        </w:tc>
        <w:tc>
          <w:tcPr>
            <w:tcW w:w="0" w:type="auto"/>
            <w:hideMark/>
          </w:tcPr>
          <w:p w14:paraId="63C6EC81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616C00BB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62</w:t>
            </w:r>
          </w:p>
        </w:tc>
      </w:tr>
      <w:tr w:rsidR="008060FA" w:rsidRPr="001B67EA" w14:paraId="07389191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4500540F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p(Time)c(Null)</w:t>
            </w:r>
          </w:p>
        </w:tc>
        <w:tc>
          <w:tcPr>
            <w:tcW w:w="0" w:type="auto"/>
            <w:hideMark/>
          </w:tcPr>
          <w:p w14:paraId="38A58CBB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148528.08</w:t>
            </w:r>
          </w:p>
        </w:tc>
        <w:tc>
          <w:tcPr>
            <w:tcW w:w="0" w:type="auto"/>
            <w:hideMark/>
          </w:tcPr>
          <w:p w14:paraId="4214AE23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61.06</w:t>
            </w:r>
          </w:p>
        </w:tc>
        <w:tc>
          <w:tcPr>
            <w:tcW w:w="0" w:type="auto"/>
            <w:hideMark/>
          </w:tcPr>
          <w:p w14:paraId="2E694424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1767E13D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62</w:t>
            </w:r>
          </w:p>
        </w:tc>
      </w:tr>
      <w:tr w:rsidR="008060FA" w:rsidRPr="001B67EA" w14:paraId="3F7A35D5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20352831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p(Null)c(Null)</w:t>
            </w:r>
          </w:p>
        </w:tc>
        <w:tc>
          <w:tcPr>
            <w:tcW w:w="0" w:type="auto"/>
            <w:hideMark/>
          </w:tcPr>
          <w:p w14:paraId="3253A257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148556.06</w:t>
            </w:r>
          </w:p>
        </w:tc>
        <w:tc>
          <w:tcPr>
            <w:tcW w:w="0" w:type="auto"/>
            <w:hideMark/>
          </w:tcPr>
          <w:p w14:paraId="4D87A278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89.05</w:t>
            </w:r>
          </w:p>
        </w:tc>
        <w:tc>
          <w:tcPr>
            <w:tcW w:w="0" w:type="auto"/>
            <w:hideMark/>
          </w:tcPr>
          <w:p w14:paraId="6770BEA4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6B4E8CBE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61</w:t>
            </w:r>
          </w:p>
        </w:tc>
      </w:tr>
      <w:tr w:rsidR="008060FA" w:rsidRPr="001B67EA" w14:paraId="502FFA31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4E6FF9EE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p(Time) = c(Time)</w:t>
            </w:r>
          </w:p>
        </w:tc>
        <w:tc>
          <w:tcPr>
            <w:tcW w:w="0" w:type="auto"/>
            <w:hideMark/>
          </w:tcPr>
          <w:p w14:paraId="38D3F93A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148609.15</w:t>
            </w:r>
          </w:p>
        </w:tc>
        <w:tc>
          <w:tcPr>
            <w:tcW w:w="0" w:type="auto"/>
            <w:hideMark/>
          </w:tcPr>
          <w:p w14:paraId="370CF0C6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142.14</w:t>
            </w:r>
          </w:p>
        </w:tc>
        <w:tc>
          <w:tcPr>
            <w:tcW w:w="0" w:type="auto"/>
            <w:hideMark/>
          </w:tcPr>
          <w:p w14:paraId="067DB972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203FF1E7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61</w:t>
            </w:r>
          </w:p>
        </w:tc>
      </w:tr>
      <w:tr w:rsidR="008060FA" w:rsidRPr="001B67EA" w14:paraId="4ABD497D" w14:textId="77777777" w:rsidTr="006156E6">
        <w:trPr>
          <w:trHeight w:val="3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5B9E0A62" w14:textId="77777777" w:rsidR="008060FA" w:rsidRPr="001B67EA" w:rsidRDefault="008060FA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p(Null) = c(Null)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5901309C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148619.16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1DB2B6CD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152.15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6C1BA00D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7AD7FACB" w14:textId="77777777" w:rsidR="008060FA" w:rsidRPr="001B67EA" w:rsidRDefault="008060FA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60</w:t>
            </w:r>
          </w:p>
        </w:tc>
      </w:tr>
    </w:tbl>
    <w:p w14:paraId="5AB9111B" w14:textId="77777777" w:rsidR="008060FA" w:rsidRPr="001B67EA" w:rsidRDefault="008060FA" w:rsidP="008060FA">
      <w:pPr>
        <w:contextualSpacing w:val="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1B67EA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a</w:t>
      </w:r>
      <w:r w:rsidRPr="001B67EA">
        <w:rPr>
          <w:rFonts w:ascii="Times" w:eastAsia="Times New Roman" w:hAnsi="Times" w:cs="Times"/>
          <w:color w:val="000000"/>
          <w:sz w:val="24"/>
          <w:szCs w:val="24"/>
        </w:rPr>
        <w:t xml:space="preserve"> Model structures for apparent annual survival </w:t>
      </w:r>
      <w:proofErr w:type="gramStart"/>
      <w:r w:rsidRPr="001B67EA">
        <w:rPr>
          <w:rFonts w:ascii="Times" w:eastAsia="Times New Roman" w:hAnsi="Times" w:cs="Times"/>
          <w:color w:val="000000"/>
          <w:sz w:val="24"/>
          <w:szCs w:val="24"/>
        </w:rPr>
        <w:t>were held</w:t>
      </w:r>
      <w:proofErr w:type="gramEnd"/>
      <w:r w:rsidRPr="001B67EA">
        <w:rPr>
          <w:rFonts w:ascii="Times" w:eastAsia="Times New Roman" w:hAnsi="Times" w:cs="Times"/>
          <w:color w:val="000000"/>
          <w:sz w:val="24"/>
          <w:szCs w:val="24"/>
        </w:rPr>
        <w:t xml:space="preserve"> to a site by year model structure (Site*Year), while model structures for emigration and immigration were fixed to zero.</w:t>
      </w:r>
      <w:r w:rsidRPr="001B67EA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</w:p>
    <w:p w14:paraId="6BF53119" w14:textId="77777777" w:rsidR="008060FA" w:rsidRDefault="008060FA"/>
    <w:sectPr w:rsidR="0080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A"/>
    <w:rsid w:val="001A5E07"/>
    <w:rsid w:val="008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FE99"/>
  <w15:chartTrackingRefBased/>
  <w15:docId w15:val="{646C48D1-02E6-4CBA-A522-571D633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FA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806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0FA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F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Weldy</dc:creator>
  <cp:keywords/>
  <dc:description/>
  <cp:lastModifiedBy>Matt Weldy</cp:lastModifiedBy>
  <cp:revision>2</cp:revision>
  <dcterms:created xsi:type="dcterms:W3CDTF">2019-05-31T14:47:00Z</dcterms:created>
  <dcterms:modified xsi:type="dcterms:W3CDTF">2019-05-31T22:42:00Z</dcterms:modified>
</cp:coreProperties>
</file>