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9AE" w:rsidRDefault="005715B8" w:rsidP="00AF60C0">
      <w:pPr>
        <w:spacing w:line="260" w:lineRule="atLeast"/>
        <w:rPr>
          <w:rFonts w:ascii="Palatino Linotype" w:eastAsia="宋体" w:hAnsi="Palatino Linotype" w:cs="Times New Roman"/>
          <w:sz w:val="24"/>
          <w:szCs w:val="24"/>
        </w:rPr>
      </w:pPr>
      <w:r w:rsidRPr="00AF60C0">
        <w:rPr>
          <w:rFonts w:ascii="Palatino Linotype" w:eastAsia="宋体" w:hAnsi="Palatino Linotype" w:cs="Times New Roman"/>
          <w:sz w:val="24"/>
          <w:szCs w:val="24"/>
        </w:rPr>
        <w:t>Supplementary Material:</w:t>
      </w:r>
    </w:p>
    <w:p w:rsidR="00AF60C0" w:rsidRDefault="00AF60C0" w:rsidP="00F4029B">
      <w:pPr>
        <w:spacing w:line="260" w:lineRule="atLeast"/>
        <w:rPr>
          <w:rFonts w:ascii="Palatino Linotype" w:eastAsia="宋体" w:hAnsi="Palatino Linotype" w:cs="Times New Roman"/>
          <w:sz w:val="18"/>
          <w:szCs w:val="18"/>
        </w:rPr>
      </w:pPr>
    </w:p>
    <w:p w:rsidR="004A1C85" w:rsidRDefault="00F4029B" w:rsidP="00F4029B">
      <w:pPr>
        <w:spacing w:line="260" w:lineRule="atLeast"/>
        <w:jc w:val="center"/>
        <w:rPr>
          <w:rFonts w:ascii="Palatino Linotype" w:eastAsia="宋体" w:hAnsi="Palatino Linotype" w:cs="Times New Roman"/>
          <w:sz w:val="18"/>
          <w:szCs w:val="18"/>
        </w:rPr>
      </w:pPr>
      <w:r>
        <w:rPr>
          <w:rFonts w:ascii="Palatino Linotype" w:eastAsia="宋体" w:hAnsi="Palatino Linotype" w:cs="Times New Roman"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6.5pt;height:409pt">
            <v:imagedata r:id="rId7" o:title="Figure S1"/>
          </v:shape>
        </w:pict>
      </w:r>
    </w:p>
    <w:p w:rsidR="00F4029B" w:rsidRDefault="00F4029B" w:rsidP="00F4029B">
      <w:pPr>
        <w:spacing w:line="260" w:lineRule="atLeast"/>
        <w:jc w:val="center"/>
        <w:rPr>
          <w:rFonts w:ascii="Palatino Linotype" w:eastAsia="宋体" w:hAnsi="Palatino Linotype" w:cs="Times New Roman" w:hint="eastAsia"/>
          <w:sz w:val="18"/>
          <w:szCs w:val="18"/>
        </w:rPr>
      </w:pPr>
    </w:p>
    <w:p w:rsidR="004A1C85" w:rsidRPr="004A1C85" w:rsidRDefault="004A1C85" w:rsidP="004A1C85">
      <w:pPr>
        <w:spacing w:line="260" w:lineRule="atLeast"/>
        <w:rPr>
          <w:rFonts w:ascii="Palatino Linotype" w:hAnsi="Palatino Linotype" w:cs="Times New Roman"/>
          <w:szCs w:val="21"/>
        </w:rPr>
      </w:pPr>
      <w:r w:rsidRPr="004A1C85">
        <w:rPr>
          <w:rFonts w:ascii="Palatino Linotype" w:hAnsi="Palatino Linotype" w:cs="Times New Roman"/>
          <w:b/>
          <w:szCs w:val="21"/>
        </w:rPr>
        <w:t xml:space="preserve">Figure </w:t>
      </w:r>
      <w:r w:rsidR="00F35EB0">
        <w:rPr>
          <w:rFonts w:ascii="Palatino Linotype" w:hAnsi="Palatino Linotype" w:cs="Times New Roman"/>
          <w:b/>
          <w:szCs w:val="21"/>
        </w:rPr>
        <w:t>S</w:t>
      </w:r>
      <w:r w:rsidRPr="004A1C85">
        <w:rPr>
          <w:rFonts w:ascii="Palatino Linotype" w:hAnsi="Palatino Linotype" w:cs="Times New Roman"/>
          <w:b/>
          <w:szCs w:val="21"/>
        </w:rPr>
        <w:t>1.</w:t>
      </w:r>
      <w:r w:rsidRPr="004A1C85">
        <w:rPr>
          <w:rFonts w:ascii="Palatino Linotype" w:hAnsi="Palatino Linotype" w:cs="Times New Roman"/>
          <w:szCs w:val="21"/>
        </w:rPr>
        <w:t xml:space="preserve"> Kaplan-Meier analysis of survival difference between high and low risk BLCA patients </w:t>
      </w:r>
      <w:r>
        <w:rPr>
          <w:rFonts w:ascii="Palatino Linotype" w:hAnsi="Palatino Linotype" w:cs="Times New Roman" w:hint="eastAsia"/>
          <w:szCs w:val="21"/>
        </w:rPr>
        <w:t>and</w:t>
      </w:r>
      <w:r>
        <w:rPr>
          <w:rFonts w:ascii="Palatino Linotype" w:hAnsi="Palatino Linotype" w:cs="Times New Roman"/>
          <w:szCs w:val="21"/>
        </w:rPr>
        <w:t xml:space="preserve"> </w:t>
      </w:r>
      <w:r w:rsidRPr="004A1C85">
        <w:rPr>
          <w:rFonts w:ascii="Palatino Linotype" w:hAnsi="Palatino Linotype" w:cs="Times New Roman"/>
          <w:szCs w:val="21"/>
        </w:rPr>
        <w:t>ROC curve of survival prediction by RNA prognostic biomarker in different gender groups.</w:t>
      </w:r>
    </w:p>
    <w:p w:rsidR="004A1C85" w:rsidRDefault="004A1C85" w:rsidP="00AF60C0">
      <w:pPr>
        <w:spacing w:line="260" w:lineRule="atLeast"/>
        <w:rPr>
          <w:rFonts w:ascii="Palatino Linotype" w:eastAsia="宋体" w:hAnsi="Palatino Linotype" w:cs="Times New Roman"/>
          <w:sz w:val="18"/>
          <w:szCs w:val="18"/>
        </w:rPr>
      </w:pPr>
    </w:p>
    <w:p w:rsidR="004A1C85" w:rsidRDefault="004A1C85" w:rsidP="00F4029B">
      <w:pPr>
        <w:spacing w:line="260" w:lineRule="atLeast"/>
        <w:rPr>
          <w:rFonts w:ascii="Palatino Linotype" w:eastAsia="宋体" w:hAnsi="Palatino Linotype" w:cs="Times New Roman" w:hint="eastAsia"/>
          <w:sz w:val="18"/>
          <w:szCs w:val="18"/>
        </w:rPr>
      </w:pPr>
    </w:p>
    <w:p w:rsidR="00F4029B" w:rsidRDefault="00F4029B" w:rsidP="004A1C85">
      <w:pPr>
        <w:spacing w:line="260" w:lineRule="atLeast"/>
        <w:jc w:val="center"/>
        <w:rPr>
          <w:rFonts w:ascii="Palatino Linotype" w:eastAsia="宋体" w:hAnsi="Palatino Linotype" w:cs="Times New Roman"/>
          <w:sz w:val="18"/>
          <w:szCs w:val="18"/>
        </w:rPr>
      </w:pPr>
      <w:r>
        <w:rPr>
          <w:rFonts w:ascii="Palatino Linotype" w:eastAsia="宋体" w:hAnsi="Palatino Linotype" w:cs="Times New Roman"/>
          <w:sz w:val="18"/>
          <w:szCs w:val="18"/>
        </w:rPr>
        <w:lastRenderedPageBreak/>
        <w:pict>
          <v:shape id="_x0000_i1026" type="#_x0000_t75" style="width:381.5pt;height:613.5pt">
            <v:imagedata r:id="rId8" o:title="Figure S2"/>
          </v:shape>
        </w:pict>
      </w:r>
    </w:p>
    <w:p w:rsidR="004A1C85" w:rsidRDefault="004A1C85" w:rsidP="00AF60C0">
      <w:pPr>
        <w:spacing w:line="260" w:lineRule="atLeast"/>
        <w:rPr>
          <w:rFonts w:ascii="Palatino Linotype" w:eastAsia="宋体" w:hAnsi="Palatino Linotype" w:cs="Times New Roman"/>
          <w:sz w:val="18"/>
          <w:szCs w:val="18"/>
        </w:rPr>
      </w:pPr>
    </w:p>
    <w:p w:rsidR="004A1C85" w:rsidRPr="00F4029B" w:rsidRDefault="004A1C85" w:rsidP="00AF60C0">
      <w:pPr>
        <w:spacing w:line="260" w:lineRule="atLeast"/>
        <w:rPr>
          <w:rFonts w:ascii="Palatino Linotype" w:hAnsi="Palatino Linotype" w:cs="Times New Roman" w:hint="eastAsia"/>
          <w:szCs w:val="21"/>
        </w:rPr>
      </w:pPr>
      <w:r w:rsidRPr="004A1C85">
        <w:rPr>
          <w:rFonts w:ascii="Palatino Linotype" w:hAnsi="Palatino Linotype" w:cs="Times New Roman"/>
          <w:b/>
          <w:szCs w:val="21"/>
        </w:rPr>
        <w:t xml:space="preserve">Figure </w:t>
      </w:r>
      <w:r w:rsidR="00F35EB0">
        <w:rPr>
          <w:rFonts w:ascii="Palatino Linotype" w:hAnsi="Palatino Linotype" w:cs="Times New Roman"/>
          <w:b/>
          <w:szCs w:val="21"/>
        </w:rPr>
        <w:t>S</w:t>
      </w:r>
      <w:r>
        <w:rPr>
          <w:rFonts w:ascii="Palatino Linotype" w:hAnsi="Palatino Linotype" w:cs="Times New Roman"/>
          <w:b/>
          <w:szCs w:val="21"/>
        </w:rPr>
        <w:t>2</w:t>
      </w:r>
      <w:r w:rsidRPr="00AF60C0">
        <w:rPr>
          <w:rFonts w:ascii="Palatino Linotype" w:hAnsi="Palatino Linotype"/>
          <w:snapToGrid w:val="0"/>
          <w:sz w:val="18"/>
          <w:szCs w:val="18"/>
          <w:lang w:eastAsia="en-US" w:bidi="en-US"/>
        </w:rPr>
        <w:t xml:space="preserve">. </w:t>
      </w:r>
      <w:r w:rsidRPr="004A1C85">
        <w:rPr>
          <w:rFonts w:ascii="Palatino Linotype" w:hAnsi="Palatino Linotype" w:cs="Times New Roman"/>
          <w:szCs w:val="21"/>
        </w:rPr>
        <w:t>Kaplan-Meier analysis of survival difference between high and low risk BLCA patients and ROC curve of survival prediction by RNA prognostic biomarker in different clinical stages.</w:t>
      </w:r>
    </w:p>
    <w:p w:rsidR="00F4029B" w:rsidRDefault="00F4029B" w:rsidP="00F4029B">
      <w:pPr>
        <w:spacing w:line="260" w:lineRule="atLeast"/>
        <w:jc w:val="center"/>
        <w:rPr>
          <w:rFonts w:ascii="Palatino Linotype" w:eastAsia="宋体" w:hAnsi="Palatino Linotype" w:cs="Times New Roman"/>
          <w:sz w:val="18"/>
          <w:szCs w:val="18"/>
        </w:rPr>
      </w:pPr>
      <w:r>
        <w:rPr>
          <w:rFonts w:ascii="Palatino Linotype" w:eastAsia="宋体" w:hAnsi="Palatino Linotype" w:cs="Times New Roman"/>
          <w:sz w:val="18"/>
          <w:szCs w:val="18"/>
        </w:rPr>
        <w:lastRenderedPageBreak/>
        <w:pict>
          <v:shape id="_x0000_i1027" type="#_x0000_t75" style="width:383.5pt;height:402.5pt">
            <v:imagedata r:id="rId9" o:title="Figure S3"/>
          </v:shape>
        </w:pict>
      </w:r>
    </w:p>
    <w:p w:rsidR="00ED1033" w:rsidRPr="004A1C85" w:rsidRDefault="00ED1033" w:rsidP="00AF60C0">
      <w:pPr>
        <w:spacing w:line="260" w:lineRule="atLeast"/>
        <w:rPr>
          <w:rFonts w:ascii="Palatino Linotype" w:eastAsia="宋体" w:hAnsi="Palatino Linotype" w:cs="Times New Roman"/>
          <w:sz w:val="18"/>
          <w:szCs w:val="18"/>
        </w:rPr>
      </w:pPr>
    </w:p>
    <w:p w:rsidR="004A1C85" w:rsidRDefault="004A1C85" w:rsidP="00ED1033">
      <w:pPr>
        <w:rPr>
          <w:rFonts w:ascii="Palatino Linotype" w:hAnsi="Palatino Linotype" w:cs="Times New Roman"/>
          <w:szCs w:val="21"/>
        </w:rPr>
      </w:pPr>
      <w:r w:rsidRPr="004A1C85">
        <w:rPr>
          <w:rFonts w:ascii="Palatino Linotype" w:hAnsi="Palatino Linotype" w:cs="Times New Roman"/>
          <w:b/>
          <w:szCs w:val="21"/>
        </w:rPr>
        <w:t xml:space="preserve">Figure </w:t>
      </w:r>
      <w:r w:rsidR="00F35EB0">
        <w:rPr>
          <w:rFonts w:ascii="Palatino Linotype" w:hAnsi="Palatino Linotype" w:cs="Times New Roman"/>
          <w:b/>
          <w:szCs w:val="21"/>
        </w:rPr>
        <w:t>S</w:t>
      </w:r>
      <w:r>
        <w:rPr>
          <w:rFonts w:ascii="Palatino Linotype" w:hAnsi="Palatino Linotype" w:cs="Times New Roman"/>
          <w:b/>
          <w:szCs w:val="21"/>
        </w:rPr>
        <w:t>3</w:t>
      </w:r>
      <w:r w:rsidRPr="004A1C85">
        <w:rPr>
          <w:rFonts w:ascii="Palatino Linotype" w:hAnsi="Palatino Linotype" w:cs="Times New Roman"/>
          <w:szCs w:val="21"/>
        </w:rPr>
        <w:t>.</w:t>
      </w:r>
      <w:r>
        <w:rPr>
          <w:rFonts w:ascii="Palatino Linotype" w:hAnsi="Palatino Linotype" w:cs="Times New Roman"/>
          <w:szCs w:val="21"/>
        </w:rPr>
        <w:t xml:space="preserve"> </w:t>
      </w:r>
      <w:r w:rsidR="00ED1033" w:rsidRPr="004A1C85">
        <w:rPr>
          <w:rFonts w:ascii="Palatino Linotype" w:hAnsi="Palatino Linotype" w:cs="Times New Roman"/>
          <w:szCs w:val="21"/>
        </w:rPr>
        <w:t>Kaplan-Meier analysis of survival difference between high and low risk BLCA patients and ROC curve of survival prediction by RNA prognostic biomarker in different age groups.</w:t>
      </w:r>
    </w:p>
    <w:p w:rsidR="00ED1033" w:rsidRPr="00ED1033" w:rsidRDefault="00ED1033" w:rsidP="00ED1033">
      <w:pPr>
        <w:rPr>
          <w:rFonts w:ascii="Palatino Linotype" w:hAnsi="Palatino Linotype" w:cs="Times New Roman"/>
          <w:szCs w:val="21"/>
        </w:rPr>
      </w:pPr>
    </w:p>
    <w:p w:rsidR="00B97E13" w:rsidRDefault="00B97E13" w:rsidP="007B3910">
      <w:pPr>
        <w:spacing w:line="360" w:lineRule="auto"/>
        <w:rPr>
          <w:rFonts w:ascii="Times" w:eastAsia="Arial Unicode MS" w:hAnsi="Times" w:cs="Times" w:hint="eastAsia"/>
          <w:lang w:eastAsia="zh-TW"/>
        </w:rPr>
      </w:pPr>
    </w:p>
    <w:p w:rsidR="00D45F33" w:rsidRDefault="00F4029B" w:rsidP="003A54D7">
      <w:pPr>
        <w:spacing w:beforeLines="50" w:before="156" w:line="360" w:lineRule="auto"/>
        <w:jc w:val="center"/>
        <w:rPr>
          <w:rFonts w:ascii="Times New Roman" w:hAnsi="Times New Roman" w:cs="Times New Roman"/>
          <w:color w:val="385623"/>
          <w:u w:color="385623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noProof/>
          <w:color w:val="385623"/>
          <w:u w:color="385623"/>
          <w:shd w:val="clear" w:color="auto" w:fill="FFFFFF"/>
        </w:rPr>
        <w:lastRenderedPageBreak/>
        <w:pict>
          <v:shape id="_x0000_i1028" type="#_x0000_t75" style="width:341.5pt;height:548.5pt">
            <v:imagedata r:id="rId10" o:title="Figure S4"/>
          </v:shape>
        </w:pict>
      </w:r>
      <w:bookmarkEnd w:id="0"/>
    </w:p>
    <w:p w:rsidR="00ED1033" w:rsidRDefault="00D45F33" w:rsidP="007B3910">
      <w:pPr>
        <w:rPr>
          <w:rFonts w:ascii="Palatino Linotype" w:eastAsia="PMingLiU" w:hAnsi="Palatino Linotype" w:cs="Times New Roman"/>
          <w:szCs w:val="21"/>
          <w:lang w:val="zh-TW" w:eastAsia="zh-TW"/>
        </w:rPr>
      </w:pPr>
      <w:r w:rsidRPr="003B2CA2">
        <w:rPr>
          <w:rFonts w:ascii="Palatino Linotype" w:hAnsi="Palatino Linotype" w:cs="Times New Roman"/>
          <w:b/>
          <w:szCs w:val="21"/>
        </w:rPr>
        <w:t>Figure S4</w:t>
      </w:r>
      <w:r w:rsidRPr="003B2CA2">
        <w:rPr>
          <w:rFonts w:ascii="Palatino Linotype" w:hAnsi="Palatino Linotype" w:cs="Times New Roman"/>
          <w:b/>
          <w:szCs w:val="21"/>
          <w:lang w:val="zh-TW"/>
        </w:rPr>
        <w:t>.</w:t>
      </w:r>
      <w:r w:rsidR="003A54D7">
        <w:rPr>
          <w:rFonts w:ascii="Palatino Linotype" w:hAnsi="Palatino Linotype" w:cs="Times New Roman"/>
          <w:szCs w:val="21"/>
          <w:lang w:val="zh-TW"/>
        </w:rPr>
        <w:t xml:space="preserve"> </w:t>
      </w:r>
      <w:r w:rsidR="003A54D7" w:rsidRPr="003B2CA2">
        <w:rPr>
          <w:rFonts w:ascii="Palatino Linotype" w:eastAsia="PMingLiU" w:hAnsi="Palatino Linotype" w:cs="Times New Roman"/>
          <w:szCs w:val="21"/>
          <w:lang w:val="zh-TW" w:eastAsia="zh-TW"/>
        </w:rPr>
        <w:t>T</w:t>
      </w:r>
      <w:r w:rsidRPr="003B2CA2">
        <w:rPr>
          <w:rFonts w:ascii="Palatino Linotype" w:eastAsia="PMingLiU" w:hAnsi="Palatino Linotype" w:cs="Times New Roman"/>
          <w:szCs w:val="21"/>
          <w:lang w:val="zh-TW" w:eastAsia="zh-TW"/>
        </w:rPr>
        <w:t xml:space="preserve">he </w:t>
      </w:r>
      <w:r w:rsidRPr="003B2CA2">
        <w:rPr>
          <w:rFonts w:ascii="Palatino Linotype" w:hAnsi="Palatino Linotype" w:cs="Times New Roman"/>
          <w:szCs w:val="21"/>
          <w:lang w:val="zh-TW"/>
        </w:rPr>
        <w:t>ROC curve of prediction property of RNA prognostic biomarker combination for BLCA in comparison with other known prognostic biomarkers</w:t>
      </w:r>
      <w:r w:rsidR="003A54D7">
        <w:rPr>
          <w:rFonts w:ascii="Palatino Linotype" w:eastAsia="PMingLiU" w:hAnsi="Palatino Linotype" w:cs="Times New Roman"/>
          <w:szCs w:val="21"/>
          <w:lang w:val="zh-TW" w:eastAsia="zh-TW"/>
        </w:rPr>
        <w:t xml:space="preserve"> </w:t>
      </w:r>
      <w:r w:rsidR="003A54D7">
        <w:rPr>
          <w:rFonts w:ascii="Palatino Linotype" w:hAnsi="Palatino Linotype" w:cs="Times New Roman"/>
          <w:szCs w:val="21"/>
          <w:lang w:val="zh-TW"/>
        </w:rPr>
        <w:t>in G</w:t>
      </w:r>
      <w:r w:rsidR="003A54D7">
        <w:rPr>
          <w:rFonts w:ascii="Palatino Linotype" w:eastAsia="Arial Unicode MS" w:hAnsi="Palatino Linotype" w:cs="Times New Roman"/>
          <w:szCs w:val="21"/>
          <w:lang w:val="zh-TW" w:eastAsia="zh-TW"/>
        </w:rPr>
        <w:t>SE13507</w:t>
      </w:r>
      <w:r w:rsidR="003A54D7" w:rsidRPr="003B2CA2">
        <w:rPr>
          <w:rFonts w:ascii="Palatino Linotype" w:hAnsi="Palatino Linotype" w:cs="Times New Roman"/>
          <w:szCs w:val="21"/>
          <w:lang w:val="zh-TW"/>
        </w:rPr>
        <w:t xml:space="preserve"> dataset</w:t>
      </w:r>
      <w:r w:rsidR="003A54D7">
        <w:rPr>
          <w:rFonts w:ascii="Palatino Linotype" w:eastAsia="PMingLiU" w:hAnsi="Palatino Linotype" w:cs="Times New Roman"/>
          <w:szCs w:val="21"/>
          <w:lang w:val="zh-TW" w:eastAsia="zh-TW"/>
        </w:rPr>
        <w:t xml:space="preserve"> (a) and </w:t>
      </w:r>
      <w:r w:rsidR="003A54D7" w:rsidRPr="00612577">
        <w:rPr>
          <w:rFonts w:ascii="Palatino Linotype" w:hAnsi="Palatino Linotype" w:cs="Times New Roman"/>
          <w:szCs w:val="21"/>
          <w:lang w:val="zh-TW"/>
        </w:rPr>
        <w:t xml:space="preserve">GSE31684 </w:t>
      </w:r>
      <w:r w:rsidR="003A54D7" w:rsidRPr="001B6D4C">
        <w:rPr>
          <w:rFonts w:ascii="Palatino Linotype" w:hAnsi="Palatino Linotype" w:cs="Times New Roman"/>
          <w:szCs w:val="21"/>
          <w:lang w:val="zh-TW"/>
        </w:rPr>
        <w:t>dataset</w:t>
      </w:r>
      <w:r w:rsidR="003A54D7">
        <w:rPr>
          <w:rFonts w:ascii="Palatino Linotype" w:eastAsia="PMingLiU" w:hAnsi="Palatino Linotype" w:cs="Times New Roman"/>
          <w:szCs w:val="21"/>
          <w:lang w:val="zh-TW" w:eastAsia="zh-TW"/>
        </w:rPr>
        <w:t xml:space="preserve"> (b)</w:t>
      </w:r>
      <w:r w:rsidRPr="003B2CA2">
        <w:rPr>
          <w:rFonts w:ascii="Palatino Linotype" w:hAnsi="Palatino Linotype" w:cs="Times New Roman"/>
          <w:szCs w:val="21"/>
          <w:lang w:val="zh-TW"/>
        </w:rPr>
        <w:t>.</w:t>
      </w:r>
    </w:p>
    <w:p w:rsidR="00064617" w:rsidRDefault="00064617" w:rsidP="007B3910">
      <w:pPr>
        <w:rPr>
          <w:rFonts w:ascii="Palatino Linotype" w:eastAsia="PMingLiU" w:hAnsi="Palatino Linotype" w:cs="Times New Roman"/>
          <w:szCs w:val="21"/>
          <w:lang w:val="zh-TW" w:eastAsia="zh-TW"/>
        </w:rPr>
      </w:pPr>
    </w:p>
    <w:p w:rsidR="00064617" w:rsidRDefault="00064617" w:rsidP="00064617">
      <w:pPr>
        <w:pStyle w:val="EndNoteBibliography"/>
        <w:spacing w:beforeLines="50" w:before="156" w:line="360" w:lineRule="auto"/>
        <w:jc w:val="center"/>
        <w:rPr>
          <w:rFonts w:ascii="Arial" w:eastAsia="宋体" w:hAnsi="Arial" w:cs="Arial"/>
          <w:color w:val="333333"/>
          <w:kern w:val="0"/>
          <w:sz w:val="21"/>
          <w:szCs w:val="21"/>
          <w:bdr w:val="none" w:sz="0" w:space="0" w:color="auto"/>
        </w:rPr>
      </w:pPr>
      <w:r>
        <w:rPr>
          <w:rFonts w:ascii="Arial" w:eastAsia="宋体" w:hAnsi="Arial" w:cs="Arial"/>
          <w:noProof/>
          <w:color w:val="333333"/>
          <w:kern w:val="0"/>
          <w:sz w:val="21"/>
          <w:szCs w:val="21"/>
          <w:bdr w:val="none" w:sz="0" w:space="0" w:color="auto"/>
        </w:rPr>
        <w:lastRenderedPageBreak/>
        <w:drawing>
          <wp:inline distT="0" distB="0" distL="0" distR="0">
            <wp:extent cx="4210050" cy="3149600"/>
            <wp:effectExtent l="0" t="0" r="0" b="0"/>
            <wp:docPr id="1" name="图片 1" descr="C:\Users\Administrator\AppData\Local\Microsoft\Windows\INetCache\Content.Word\boxplot_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Microsoft\Windows\INetCache\Content.Word\boxplot_al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617" w:rsidRPr="00064617" w:rsidRDefault="00064617" w:rsidP="00064617">
      <w:pPr>
        <w:pStyle w:val="EndNoteBibliography"/>
        <w:spacing w:beforeLines="50" w:before="156" w:line="360" w:lineRule="auto"/>
        <w:rPr>
          <w:rFonts w:ascii="Palatino Linotype" w:eastAsia="Arial Unicode MS" w:hAnsi="Palatino Linotype"/>
          <w:color w:val="auto"/>
          <w:kern w:val="0"/>
          <w:sz w:val="21"/>
          <w:szCs w:val="21"/>
          <w:bdr w:val="none" w:sz="0" w:space="0" w:color="auto"/>
          <w:lang w:val="zh-TW" w:eastAsia="zh-TW"/>
        </w:rPr>
      </w:pPr>
      <w:r w:rsidRPr="00064617">
        <w:rPr>
          <w:rFonts w:ascii="Palatino Linotype" w:hAnsi="Palatino Linotype"/>
          <w:b/>
          <w:color w:val="auto"/>
          <w:sz w:val="21"/>
          <w:szCs w:val="21"/>
        </w:rPr>
        <w:t>Figure S5</w:t>
      </w:r>
      <w:r w:rsidRPr="00064617">
        <w:rPr>
          <w:rFonts w:ascii="Palatino Linotype" w:eastAsia="Arial Unicode MS" w:hAnsi="Palatino Linotype"/>
          <w:b/>
          <w:color w:val="auto"/>
          <w:kern w:val="0"/>
          <w:sz w:val="21"/>
          <w:szCs w:val="21"/>
          <w:bdr w:val="none" w:sz="0" w:space="0" w:color="auto"/>
          <w:lang w:val="zh-TW" w:eastAsia="zh-TW"/>
        </w:rPr>
        <w:t>.</w:t>
      </w:r>
      <w:r w:rsidRPr="00064617">
        <w:rPr>
          <w:rFonts w:ascii="Palatino Linotype" w:eastAsia="Arial Unicode MS" w:hAnsi="Palatino Linotype"/>
          <w:color w:val="auto"/>
          <w:kern w:val="0"/>
          <w:sz w:val="21"/>
          <w:szCs w:val="21"/>
          <w:bdr w:val="none" w:sz="0" w:space="0" w:color="auto"/>
          <w:lang w:val="zh-TW" w:eastAsia="zh-TW"/>
        </w:rPr>
        <w:t xml:space="preserve"> The boxplot of risk scores for different genders</w:t>
      </w:r>
      <w:r w:rsidRPr="00064617">
        <w:rPr>
          <w:rFonts w:ascii="Palatino Linotype" w:eastAsia="Arial Unicode MS" w:hAnsi="Palatino Linotype" w:hint="eastAsia"/>
          <w:color w:val="auto"/>
          <w:kern w:val="0"/>
          <w:sz w:val="21"/>
          <w:szCs w:val="21"/>
          <w:bdr w:val="none" w:sz="0" w:space="0" w:color="auto"/>
          <w:lang w:val="zh-TW"/>
        </w:rPr>
        <w:t xml:space="preserve">, </w:t>
      </w:r>
      <w:r w:rsidRPr="00064617">
        <w:rPr>
          <w:rFonts w:ascii="Palatino Linotype" w:eastAsia="Arial Unicode MS" w:hAnsi="Palatino Linotype"/>
          <w:color w:val="auto"/>
          <w:kern w:val="0"/>
          <w:sz w:val="21"/>
          <w:szCs w:val="21"/>
          <w:bdr w:val="none" w:sz="0" w:space="0" w:color="auto"/>
          <w:lang w:val="zh-TW" w:eastAsia="zh-TW"/>
        </w:rPr>
        <w:t>cancer stages</w:t>
      </w:r>
      <w:r w:rsidRPr="00064617">
        <w:rPr>
          <w:rFonts w:ascii="Palatino Linotype" w:eastAsia="Arial Unicode MS" w:hAnsi="Palatino Linotype" w:hint="eastAsia"/>
          <w:color w:val="auto"/>
          <w:kern w:val="0"/>
          <w:sz w:val="21"/>
          <w:szCs w:val="21"/>
          <w:bdr w:val="none" w:sz="0" w:space="0" w:color="auto"/>
          <w:lang w:val="zh-TW" w:eastAsia="zh-TW"/>
        </w:rPr>
        <w:t xml:space="preserve"> </w:t>
      </w:r>
      <w:r w:rsidRPr="00064617">
        <w:rPr>
          <w:rFonts w:ascii="Palatino Linotype" w:eastAsia="Arial Unicode MS" w:hAnsi="Palatino Linotype"/>
          <w:color w:val="auto"/>
          <w:kern w:val="0"/>
          <w:sz w:val="21"/>
          <w:szCs w:val="21"/>
          <w:bdr w:val="none" w:sz="0" w:space="0" w:color="auto"/>
          <w:lang w:val="zh-TW" w:eastAsia="zh-TW"/>
        </w:rPr>
        <w:t>and ages. </w:t>
      </w:r>
    </w:p>
    <w:p w:rsidR="00064617" w:rsidRPr="00064617" w:rsidRDefault="00064617" w:rsidP="007B3910">
      <w:pPr>
        <w:rPr>
          <w:rFonts w:ascii="Palatino Linotype" w:eastAsia="PMingLiU" w:hAnsi="Palatino Linotype" w:cs="Times New Roman"/>
          <w:szCs w:val="21"/>
          <w:lang w:val="zh-TW" w:eastAsia="zh-TW"/>
        </w:rPr>
      </w:pPr>
    </w:p>
    <w:sectPr w:rsidR="00064617" w:rsidRPr="0006461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40EB" w:rsidRDefault="00BB40EB" w:rsidP="00EF2403">
      <w:r>
        <w:separator/>
      </w:r>
    </w:p>
  </w:endnote>
  <w:endnote w:type="continuationSeparator" w:id="0">
    <w:p w:rsidR="00BB40EB" w:rsidRDefault="00BB40EB" w:rsidP="00EF24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40EB" w:rsidRDefault="00BB40EB" w:rsidP="00EF2403">
      <w:r>
        <w:separator/>
      </w:r>
    </w:p>
  </w:footnote>
  <w:footnote w:type="continuationSeparator" w:id="0">
    <w:p w:rsidR="00BB40EB" w:rsidRDefault="00BB40EB" w:rsidP="00EF24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6ED"/>
    <w:rsid w:val="0000595F"/>
    <w:rsid w:val="00064617"/>
    <w:rsid w:val="000A6CF4"/>
    <w:rsid w:val="001541EF"/>
    <w:rsid w:val="0016767D"/>
    <w:rsid w:val="002C601F"/>
    <w:rsid w:val="003A54D7"/>
    <w:rsid w:val="00463907"/>
    <w:rsid w:val="004A1C85"/>
    <w:rsid w:val="005715B8"/>
    <w:rsid w:val="00654AAE"/>
    <w:rsid w:val="006741B3"/>
    <w:rsid w:val="00682A05"/>
    <w:rsid w:val="006C6AF3"/>
    <w:rsid w:val="007B3910"/>
    <w:rsid w:val="0082262F"/>
    <w:rsid w:val="009426ED"/>
    <w:rsid w:val="00A039AE"/>
    <w:rsid w:val="00A72E12"/>
    <w:rsid w:val="00AF60C0"/>
    <w:rsid w:val="00B77CF8"/>
    <w:rsid w:val="00B97E13"/>
    <w:rsid w:val="00BB40EB"/>
    <w:rsid w:val="00D45F33"/>
    <w:rsid w:val="00D662CF"/>
    <w:rsid w:val="00D77591"/>
    <w:rsid w:val="00E53B01"/>
    <w:rsid w:val="00EC1FDB"/>
    <w:rsid w:val="00ED1033"/>
    <w:rsid w:val="00EF2403"/>
    <w:rsid w:val="00F35EB0"/>
    <w:rsid w:val="00F4029B"/>
    <w:rsid w:val="00FF0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6C9E679-9E14-4BAF-ADA1-852976EB9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F24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F240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F240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F240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97E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97E13"/>
    <w:rPr>
      <w:sz w:val="18"/>
      <w:szCs w:val="18"/>
    </w:rPr>
  </w:style>
  <w:style w:type="paragraph" w:customStyle="1" w:styleId="EndNoteBibliography">
    <w:name w:val="EndNote Bibliography"/>
    <w:link w:val="EndNoteBibliographyChar"/>
    <w:qFormat/>
    <w:rsid w:val="00064617"/>
    <w:pPr>
      <w:widowControl w:val="0"/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ascii="Times New Roman" w:eastAsia="Times New Roman" w:hAnsi="Times New Roman" w:cs="Times New Roman"/>
      <w:color w:val="000000"/>
      <w:sz w:val="20"/>
      <w:szCs w:val="20"/>
      <w:u w:color="000000"/>
      <w:bdr w:val="nil"/>
    </w:rPr>
  </w:style>
  <w:style w:type="character" w:customStyle="1" w:styleId="EndNoteBibliographyChar">
    <w:name w:val="EndNote Bibliography Char"/>
    <w:basedOn w:val="a0"/>
    <w:link w:val="EndNoteBibliography"/>
    <w:rsid w:val="00064617"/>
    <w:rPr>
      <w:rFonts w:ascii="Times New Roman" w:eastAsia="Times New Roman" w:hAnsi="Times New Roman" w:cs="Times New Roman"/>
      <w:color w:val="000000"/>
      <w:sz w:val="20"/>
      <w:szCs w:val="20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标题排序" Version="2003"/>
</file>

<file path=customXml/itemProps1.xml><?xml version="1.0" encoding="utf-8"?>
<ds:datastoreItem xmlns:ds="http://schemas.openxmlformats.org/officeDocument/2006/customXml" ds:itemID="{19835B66-E47B-49C0-849E-510297312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133</Words>
  <Characters>763</Characters>
  <Application>Microsoft Office Word</Application>
  <DocSecurity>0</DocSecurity>
  <Lines>6</Lines>
  <Paragraphs>1</Paragraphs>
  <ScaleCrop>false</ScaleCrop>
  <Company>Microsoft</Company>
  <LinksUpToDate>false</LinksUpToDate>
  <CharactersWithSpaces>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China</dc:creator>
  <cp:keywords/>
  <dc:description/>
  <cp:lastModifiedBy>China</cp:lastModifiedBy>
  <cp:revision>17</cp:revision>
  <dcterms:created xsi:type="dcterms:W3CDTF">2017-12-23T06:26:00Z</dcterms:created>
  <dcterms:modified xsi:type="dcterms:W3CDTF">2019-07-21T04:59:00Z</dcterms:modified>
</cp:coreProperties>
</file>