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8B49" w14:textId="0971B226" w:rsidR="00FF09FB" w:rsidRPr="00580A8B" w:rsidRDefault="00FF09FB" w:rsidP="00580A8B">
      <w:pPr>
        <w:widowControl/>
        <w:jc w:val="left"/>
        <w:rPr>
          <w:rFonts w:ascii="Times New Roman" w:eastAsia="宋体" w:hAnsi="Times New Roman" w:cs="Times New Roman"/>
          <w:color w:val="484848"/>
          <w:kern w:val="0"/>
          <w:szCs w:val="24"/>
        </w:rPr>
      </w:pPr>
      <w:r w:rsidRPr="00580A8B">
        <w:rPr>
          <w:rFonts w:ascii="Times New Roman" w:eastAsia="宋体" w:hAnsi="Times New Roman" w:cs="Times New Roman"/>
          <w:color w:val="484848"/>
          <w:kern w:val="0"/>
          <w:szCs w:val="24"/>
        </w:rPr>
        <w:t xml:space="preserve">We will explain “Related genes” and “All genes” respectively, and black module in AAA condition is presented as one example. </w:t>
      </w:r>
    </w:p>
    <w:p w14:paraId="45354DC8" w14:textId="77777777" w:rsidR="00FF09FB" w:rsidRPr="00580A8B" w:rsidRDefault="00FF09FB" w:rsidP="00580A8B">
      <w:pPr>
        <w:widowControl/>
        <w:jc w:val="left"/>
        <w:rPr>
          <w:rFonts w:ascii="Times New Roman" w:eastAsia="宋体" w:hAnsi="Times New Roman" w:cs="Times New Roman"/>
          <w:color w:val="484848"/>
          <w:kern w:val="0"/>
          <w:szCs w:val="24"/>
        </w:rPr>
      </w:pPr>
      <w:r w:rsidRPr="00580A8B">
        <w:rPr>
          <w:rFonts w:ascii="Times New Roman" w:eastAsia="宋体" w:hAnsi="Times New Roman" w:cs="Times New Roman"/>
          <w:color w:val="484848"/>
          <w:kern w:val="0"/>
          <w:szCs w:val="24"/>
        </w:rPr>
        <w:t>Top 10 KEGG pathways of black module in AAA condition</w:t>
      </w:r>
    </w:p>
    <w:tbl>
      <w:tblPr>
        <w:tblW w:w="8306" w:type="dxa"/>
        <w:tblBorders>
          <w:top w:val="single" w:sz="4" w:space="0" w:color="auto"/>
          <w:bottom w:val="single" w:sz="4" w:space="0" w:color="auto"/>
        </w:tblBorders>
        <w:tblLook w:val="04A0" w:firstRow="1" w:lastRow="0" w:firstColumn="1" w:lastColumn="0" w:noHBand="0" w:noVBand="1"/>
      </w:tblPr>
      <w:tblGrid>
        <w:gridCol w:w="2694"/>
        <w:gridCol w:w="992"/>
        <w:gridCol w:w="4620"/>
      </w:tblGrid>
      <w:tr w:rsidR="00FF09FB" w:rsidRPr="00580A8B" w14:paraId="11EAD9A8" w14:textId="77777777" w:rsidTr="00C90022">
        <w:trPr>
          <w:trHeight w:val="278"/>
        </w:trPr>
        <w:tc>
          <w:tcPr>
            <w:tcW w:w="2694" w:type="dxa"/>
            <w:tcBorders>
              <w:top w:val="single" w:sz="4" w:space="0" w:color="auto"/>
              <w:bottom w:val="single" w:sz="4" w:space="0" w:color="auto"/>
            </w:tcBorders>
            <w:shd w:val="clear" w:color="auto" w:fill="auto"/>
            <w:noWrap/>
            <w:vAlign w:val="bottom"/>
            <w:hideMark/>
          </w:tcPr>
          <w:p w14:paraId="28F5B877" w14:textId="77777777" w:rsidR="00FF09FB" w:rsidRPr="00580A8B" w:rsidRDefault="00FF09FB" w:rsidP="00580A8B">
            <w:pPr>
              <w:widowControl/>
              <w:jc w:val="left"/>
              <w:rPr>
                <w:rFonts w:ascii="Times New Roman" w:eastAsia="等线" w:hAnsi="Times New Roman" w:cs="Times New Roman"/>
                <w:color w:val="000000"/>
                <w:kern w:val="0"/>
                <w:sz w:val="20"/>
              </w:rPr>
            </w:pPr>
            <w:r w:rsidRPr="00580A8B">
              <w:rPr>
                <w:rFonts w:ascii="Times New Roman" w:eastAsia="等线" w:hAnsi="Times New Roman" w:cs="Times New Roman"/>
                <w:color w:val="000000"/>
                <w:kern w:val="0"/>
                <w:sz w:val="20"/>
              </w:rPr>
              <w:t>Term</w:t>
            </w:r>
          </w:p>
        </w:tc>
        <w:tc>
          <w:tcPr>
            <w:tcW w:w="992" w:type="dxa"/>
            <w:tcBorders>
              <w:top w:val="single" w:sz="4" w:space="0" w:color="auto"/>
              <w:bottom w:val="single" w:sz="4" w:space="0" w:color="auto"/>
            </w:tcBorders>
            <w:shd w:val="clear" w:color="auto" w:fill="auto"/>
            <w:noWrap/>
            <w:vAlign w:val="bottom"/>
            <w:hideMark/>
          </w:tcPr>
          <w:p w14:paraId="75B279A8" w14:textId="77777777" w:rsidR="00FF09FB" w:rsidRPr="00580A8B" w:rsidRDefault="00FF09FB" w:rsidP="00580A8B">
            <w:pPr>
              <w:widowControl/>
              <w:jc w:val="left"/>
              <w:rPr>
                <w:rFonts w:ascii="Times New Roman" w:eastAsia="等线" w:hAnsi="Times New Roman" w:cs="Times New Roman"/>
                <w:color w:val="000000"/>
                <w:kern w:val="0"/>
                <w:sz w:val="20"/>
              </w:rPr>
            </w:pPr>
            <w:r w:rsidRPr="00580A8B">
              <w:rPr>
                <w:rFonts w:ascii="Times New Roman" w:eastAsia="等线" w:hAnsi="Times New Roman" w:cs="Times New Roman"/>
                <w:color w:val="000000"/>
                <w:kern w:val="0"/>
                <w:sz w:val="20"/>
              </w:rPr>
              <w:t>Count</w:t>
            </w:r>
          </w:p>
        </w:tc>
        <w:tc>
          <w:tcPr>
            <w:tcW w:w="4620" w:type="dxa"/>
            <w:tcBorders>
              <w:top w:val="single" w:sz="4" w:space="0" w:color="auto"/>
              <w:bottom w:val="single" w:sz="4" w:space="0" w:color="auto"/>
            </w:tcBorders>
            <w:shd w:val="clear" w:color="auto" w:fill="auto"/>
            <w:noWrap/>
            <w:vAlign w:val="bottom"/>
            <w:hideMark/>
          </w:tcPr>
          <w:p w14:paraId="5AF2065C" w14:textId="77777777" w:rsidR="00FF09FB" w:rsidRPr="00580A8B" w:rsidRDefault="00FF09FB" w:rsidP="00580A8B">
            <w:pPr>
              <w:widowControl/>
              <w:jc w:val="left"/>
              <w:rPr>
                <w:rFonts w:ascii="Times New Roman" w:eastAsia="等线" w:hAnsi="Times New Roman" w:cs="Times New Roman"/>
                <w:color w:val="000000"/>
                <w:kern w:val="0"/>
                <w:sz w:val="20"/>
              </w:rPr>
            </w:pPr>
            <w:r w:rsidRPr="00580A8B">
              <w:rPr>
                <w:rFonts w:ascii="Times New Roman" w:eastAsia="等线" w:hAnsi="Times New Roman" w:cs="Times New Roman"/>
                <w:color w:val="000000"/>
                <w:kern w:val="0"/>
                <w:sz w:val="20"/>
              </w:rPr>
              <w:t>Genes</w:t>
            </w:r>
          </w:p>
        </w:tc>
      </w:tr>
      <w:tr w:rsidR="00FF09FB" w:rsidRPr="00580A8B" w14:paraId="337C34AC" w14:textId="77777777" w:rsidTr="00C90022">
        <w:trPr>
          <w:trHeight w:val="278"/>
        </w:trPr>
        <w:tc>
          <w:tcPr>
            <w:tcW w:w="2694" w:type="dxa"/>
            <w:tcBorders>
              <w:top w:val="single" w:sz="4" w:space="0" w:color="auto"/>
            </w:tcBorders>
            <w:shd w:val="clear" w:color="auto" w:fill="auto"/>
            <w:noWrap/>
            <w:vAlign w:val="bottom"/>
            <w:hideMark/>
          </w:tcPr>
          <w:p w14:paraId="79ACBA86"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Hematopoietic cell lineage</w:t>
            </w:r>
          </w:p>
        </w:tc>
        <w:tc>
          <w:tcPr>
            <w:tcW w:w="992" w:type="dxa"/>
            <w:tcBorders>
              <w:top w:val="single" w:sz="4" w:space="0" w:color="auto"/>
            </w:tcBorders>
            <w:shd w:val="clear" w:color="auto" w:fill="auto"/>
            <w:noWrap/>
            <w:vAlign w:val="bottom"/>
            <w:hideMark/>
          </w:tcPr>
          <w:p w14:paraId="727CA53B" w14:textId="77777777" w:rsidR="00FF09FB" w:rsidRPr="003C0721" w:rsidRDefault="00FF09FB" w:rsidP="00580A8B">
            <w:pPr>
              <w:widowControl/>
              <w:jc w:val="righ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14</w:t>
            </w:r>
          </w:p>
        </w:tc>
        <w:tc>
          <w:tcPr>
            <w:tcW w:w="4620" w:type="dxa"/>
            <w:tcBorders>
              <w:top w:val="single" w:sz="4" w:space="0" w:color="auto"/>
            </w:tcBorders>
            <w:shd w:val="clear" w:color="auto" w:fill="auto"/>
            <w:noWrap/>
            <w:vAlign w:val="bottom"/>
            <w:hideMark/>
          </w:tcPr>
          <w:p w14:paraId="32DBC0B2"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CR2, CD8A, CD3D, CD3E, FCER2, IL7R, CD38, CD37, CD19, CD2, GP1BA, CD4, CD24, CD7</w:t>
            </w:r>
          </w:p>
        </w:tc>
      </w:tr>
      <w:tr w:rsidR="00FF09FB" w:rsidRPr="00580A8B" w14:paraId="283F8B32" w14:textId="77777777" w:rsidTr="00C90022">
        <w:trPr>
          <w:trHeight w:val="1119"/>
        </w:trPr>
        <w:tc>
          <w:tcPr>
            <w:tcW w:w="2694" w:type="dxa"/>
            <w:shd w:val="clear" w:color="auto" w:fill="auto"/>
            <w:noWrap/>
            <w:vAlign w:val="bottom"/>
            <w:hideMark/>
          </w:tcPr>
          <w:p w14:paraId="3EFD7351"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Cytokine-cytokine receptor interaction</w:t>
            </w:r>
          </w:p>
        </w:tc>
        <w:tc>
          <w:tcPr>
            <w:tcW w:w="992" w:type="dxa"/>
            <w:shd w:val="clear" w:color="auto" w:fill="auto"/>
            <w:noWrap/>
            <w:vAlign w:val="bottom"/>
            <w:hideMark/>
          </w:tcPr>
          <w:p w14:paraId="1C3DB32F" w14:textId="77777777" w:rsidR="00FF09FB" w:rsidRPr="003C0721" w:rsidRDefault="00FF09FB" w:rsidP="00580A8B">
            <w:pPr>
              <w:widowControl/>
              <w:jc w:val="righ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13</w:t>
            </w:r>
          </w:p>
        </w:tc>
        <w:tc>
          <w:tcPr>
            <w:tcW w:w="4620" w:type="dxa"/>
            <w:shd w:val="clear" w:color="auto" w:fill="auto"/>
            <w:noWrap/>
            <w:vAlign w:val="bottom"/>
            <w:hideMark/>
          </w:tcPr>
          <w:p w14:paraId="060FD3DD"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IL2RB, CCR7, CXCR5, CXCR4, CXCL13, IL10RA, TNFRSF13B, TNFRSF13C, TNFRSF17, IL7R, LTB, CD27, LTA</w:t>
            </w:r>
          </w:p>
        </w:tc>
      </w:tr>
      <w:tr w:rsidR="00FF09FB" w:rsidRPr="00580A8B" w14:paraId="262B4FAC" w14:textId="77777777" w:rsidTr="00C90022">
        <w:trPr>
          <w:trHeight w:val="278"/>
        </w:trPr>
        <w:tc>
          <w:tcPr>
            <w:tcW w:w="2694" w:type="dxa"/>
            <w:shd w:val="clear" w:color="auto" w:fill="auto"/>
            <w:noWrap/>
            <w:vAlign w:val="bottom"/>
            <w:hideMark/>
          </w:tcPr>
          <w:p w14:paraId="28CBC2B3"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Primary immunodeficiency</w:t>
            </w:r>
          </w:p>
        </w:tc>
        <w:tc>
          <w:tcPr>
            <w:tcW w:w="992" w:type="dxa"/>
            <w:shd w:val="clear" w:color="auto" w:fill="auto"/>
            <w:noWrap/>
            <w:vAlign w:val="bottom"/>
            <w:hideMark/>
          </w:tcPr>
          <w:p w14:paraId="2BF91615" w14:textId="77777777" w:rsidR="00FF09FB" w:rsidRPr="003C0721" w:rsidRDefault="00FF09FB" w:rsidP="00580A8B">
            <w:pPr>
              <w:widowControl/>
              <w:jc w:val="righ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11</w:t>
            </w:r>
          </w:p>
        </w:tc>
        <w:tc>
          <w:tcPr>
            <w:tcW w:w="4620" w:type="dxa"/>
            <w:shd w:val="clear" w:color="auto" w:fill="auto"/>
            <w:noWrap/>
            <w:vAlign w:val="bottom"/>
            <w:hideMark/>
          </w:tcPr>
          <w:p w14:paraId="0DD1014B"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CD19, CD3D, CD8A, CD3E, ICOS, TNFRSF13B, TNFRSF13C, CD4, CD79A, IL7R, ADA</w:t>
            </w:r>
          </w:p>
        </w:tc>
      </w:tr>
      <w:tr w:rsidR="00FF09FB" w:rsidRPr="00580A8B" w14:paraId="4DEA1154" w14:textId="77777777" w:rsidTr="00C90022">
        <w:trPr>
          <w:trHeight w:val="278"/>
        </w:trPr>
        <w:tc>
          <w:tcPr>
            <w:tcW w:w="2694" w:type="dxa"/>
            <w:shd w:val="clear" w:color="auto" w:fill="auto"/>
            <w:noWrap/>
            <w:vAlign w:val="bottom"/>
            <w:hideMark/>
          </w:tcPr>
          <w:p w14:paraId="669C4084"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Cell adhesion molecules (CAMs)</w:t>
            </w:r>
          </w:p>
        </w:tc>
        <w:tc>
          <w:tcPr>
            <w:tcW w:w="992" w:type="dxa"/>
            <w:shd w:val="clear" w:color="auto" w:fill="auto"/>
            <w:noWrap/>
            <w:vAlign w:val="bottom"/>
            <w:hideMark/>
          </w:tcPr>
          <w:p w14:paraId="1363E94A" w14:textId="77777777" w:rsidR="00FF09FB" w:rsidRPr="003C0721" w:rsidRDefault="00FF09FB" w:rsidP="00580A8B">
            <w:pPr>
              <w:widowControl/>
              <w:jc w:val="right"/>
              <w:rPr>
                <w:rFonts w:ascii="Times New Roman" w:eastAsia="等线" w:hAnsi="Times New Roman" w:cs="Times New Roman"/>
                <w:color w:val="000000"/>
                <w:kern w:val="0"/>
                <w:sz w:val="20"/>
              </w:rPr>
            </w:pPr>
            <w:bookmarkStart w:id="0" w:name="_GoBack"/>
            <w:bookmarkEnd w:id="0"/>
            <w:r w:rsidRPr="003C0721">
              <w:rPr>
                <w:rFonts w:ascii="Times New Roman" w:eastAsia="等线" w:hAnsi="Times New Roman" w:cs="Times New Roman"/>
                <w:color w:val="000000"/>
                <w:kern w:val="0"/>
                <w:sz w:val="20"/>
              </w:rPr>
              <w:t>11</w:t>
            </w:r>
          </w:p>
        </w:tc>
        <w:tc>
          <w:tcPr>
            <w:tcW w:w="4620" w:type="dxa"/>
            <w:shd w:val="clear" w:color="auto" w:fill="auto"/>
            <w:noWrap/>
            <w:vAlign w:val="bottom"/>
            <w:hideMark/>
          </w:tcPr>
          <w:p w14:paraId="7AF96D7B"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HLA-DQB1, ITGAL, CD8A, SELL, ICOS, ITGB7, ICAM3, CD2, CD4, CD6, HLA-DOB</w:t>
            </w:r>
          </w:p>
        </w:tc>
      </w:tr>
      <w:tr w:rsidR="00FF09FB" w:rsidRPr="00580A8B" w14:paraId="61E764B7" w14:textId="77777777" w:rsidTr="00C90022">
        <w:trPr>
          <w:trHeight w:val="278"/>
        </w:trPr>
        <w:tc>
          <w:tcPr>
            <w:tcW w:w="2694" w:type="dxa"/>
            <w:shd w:val="clear" w:color="auto" w:fill="auto"/>
            <w:noWrap/>
            <w:vAlign w:val="bottom"/>
            <w:hideMark/>
          </w:tcPr>
          <w:p w14:paraId="27A790EB"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HTLV-I infection</w:t>
            </w:r>
          </w:p>
        </w:tc>
        <w:tc>
          <w:tcPr>
            <w:tcW w:w="992" w:type="dxa"/>
            <w:shd w:val="clear" w:color="auto" w:fill="auto"/>
            <w:noWrap/>
            <w:vAlign w:val="bottom"/>
            <w:hideMark/>
          </w:tcPr>
          <w:p w14:paraId="626F5332" w14:textId="77777777" w:rsidR="00FF09FB" w:rsidRPr="003C0721" w:rsidRDefault="00FF09FB" w:rsidP="00580A8B">
            <w:pPr>
              <w:widowControl/>
              <w:jc w:val="righ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10</w:t>
            </w:r>
          </w:p>
        </w:tc>
        <w:tc>
          <w:tcPr>
            <w:tcW w:w="4620" w:type="dxa"/>
            <w:shd w:val="clear" w:color="auto" w:fill="auto"/>
            <w:noWrap/>
            <w:vAlign w:val="bottom"/>
            <w:hideMark/>
          </w:tcPr>
          <w:p w14:paraId="63D79E79"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HLA-DQB1, ITGAL, IL2RB, CD3D, CD3E, TNFRSF13C, CDC20, TCF3, HLA-DOB, LTA</w:t>
            </w:r>
          </w:p>
        </w:tc>
      </w:tr>
      <w:tr w:rsidR="00FF09FB" w:rsidRPr="00580A8B" w14:paraId="689509A2" w14:textId="77777777" w:rsidTr="00C90022">
        <w:trPr>
          <w:trHeight w:val="278"/>
        </w:trPr>
        <w:tc>
          <w:tcPr>
            <w:tcW w:w="2694" w:type="dxa"/>
            <w:shd w:val="clear" w:color="auto" w:fill="auto"/>
            <w:noWrap/>
            <w:vAlign w:val="bottom"/>
            <w:hideMark/>
          </w:tcPr>
          <w:p w14:paraId="050FBBBE"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B cell receptor signaling pathway</w:t>
            </w:r>
          </w:p>
        </w:tc>
        <w:tc>
          <w:tcPr>
            <w:tcW w:w="992" w:type="dxa"/>
            <w:shd w:val="clear" w:color="auto" w:fill="auto"/>
            <w:noWrap/>
            <w:vAlign w:val="bottom"/>
            <w:hideMark/>
          </w:tcPr>
          <w:p w14:paraId="47A213C8" w14:textId="77777777" w:rsidR="00FF09FB" w:rsidRPr="003C0721" w:rsidRDefault="00FF09FB" w:rsidP="00580A8B">
            <w:pPr>
              <w:widowControl/>
              <w:jc w:val="righ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9</w:t>
            </w:r>
          </w:p>
        </w:tc>
        <w:tc>
          <w:tcPr>
            <w:tcW w:w="4620" w:type="dxa"/>
            <w:shd w:val="clear" w:color="auto" w:fill="auto"/>
            <w:noWrap/>
            <w:vAlign w:val="bottom"/>
            <w:hideMark/>
          </w:tcPr>
          <w:p w14:paraId="2FDDBC7E"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CARD11, CD19, CR2, RAC2, PLCG2, CD79B, INPP5D, CD79A, CD72</w:t>
            </w:r>
          </w:p>
        </w:tc>
      </w:tr>
      <w:tr w:rsidR="00FF09FB" w:rsidRPr="00580A8B" w14:paraId="252667D7" w14:textId="77777777" w:rsidTr="00C90022">
        <w:trPr>
          <w:trHeight w:val="278"/>
        </w:trPr>
        <w:tc>
          <w:tcPr>
            <w:tcW w:w="2694" w:type="dxa"/>
            <w:shd w:val="clear" w:color="auto" w:fill="auto"/>
            <w:noWrap/>
            <w:vAlign w:val="bottom"/>
            <w:hideMark/>
          </w:tcPr>
          <w:p w14:paraId="389F8037"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T cell receptor signaling pathway</w:t>
            </w:r>
          </w:p>
        </w:tc>
        <w:tc>
          <w:tcPr>
            <w:tcW w:w="992" w:type="dxa"/>
            <w:shd w:val="clear" w:color="auto" w:fill="auto"/>
            <w:noWrap/>
            <w:vAlign w:val="bottom"/>
            <w:hideMark/>
          </w:tcPr>
          <w:p w14:paraId="5A069B31" w14:textId="77777777" w:rsidR="00FF09FB" w:rsidRPr="003C0721" w:rsidRDefault="00FF09FB" w:rsidP="00580A8B">
            <w:pPr>
              <w:widowControl/>
              <w:jc w:val="righ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9</w:t>
            </w:r>
          </w:p>
        </w:tc>
        <w:tc>
          <w:tcPr>
            <w:tcW w:w="4620" w:type="dxa"/>
            <w:shd w:val="clear" w:color="auto" w:fill="auto"/>
            <w:noWrap/>
            <w:vAlign w:val="bottom"/>
            <w:hideMark/>
          </w:tcPr>
          <w:p w14:paraId="4A7C7F24"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ITK, CARD11, CD3D, CD8A, FYN, CD3E, ICOS, CD247, CD4</w:t>
            </w:r>
          </w:p>
        </w:tc>
      </w:tr>
      <w:tr w:rsidR="00FF09FB" w:rsidRPr="00580A8B" w14:paraId="2C9242B5" w14:textId="77777777" w:rsidTr="00C90022">
        <w:trPr>
          <w:trHeight w:val="278"/>
        </w:trPr>
        <w:tc>
          <w:tcPr>
            <w:tcW w:w="2694" w:type="dxa"/>
            <w:shd w:val="clear" w:color="auto" w:fill="auto"/>
            <w:noWrap/>
            <w:vAlign w:val="bottom"/>
            <w:hideMark/>
          </w:tcPr>
          <w:p w14:paraId="4D6A5BD3"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Intestinal immune network for IgA production</w:t>
            </w:r>
          </w:p>
        </w:tc>
        <w:tc>
          <w:tcPr>
            <w:tcW w:w="992" w:type="dxa"/>
            <w:shd w:val="clear" w:color="auto" w:fill="auto"/>
            <w:noWrap/>
            <w:vAlign w:val="bottom"/>
            <w:hideMark/>
          </w:tcPr>
          <w:p w14:paraId="04519AC0" w14:textId="77777777" w:rsidR="00FF09FB" w:rsidRPr="003C0721" w:rsidRDefault="00FF09FB" w:rsidP="00580A8B">
            <w:pPr>
              <w:widowControl/>
              <w:jc w:val="righ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8</w:t>
            </w:r>
          </w:p>
        </w:tc>
        <w:tc>
          <w:tcPr>
            <w:tcW w:w="4620" w:type="dxa"/>
            <w:shd w:val="clear" w:color="auto" w:fill="auto"/>
            <w:noWrap/>
            <w:vAlign w:val="bottom"/>
            <w:hideMark/>
          </w:tcPr>
          <w:p w14:paraId="49AA7D35"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HLA-DQB1, CXCR4, ICOS, ITGB7, TNFRSF13B, TNFRSF13C, TNFRSF17, HLA-DOB</w:t>
            </w:r>
          </w:p>
        </w:tc>
      </w:tr>
      <w:tr w:rsidR="00FF09FB" w:rsidRPr="00580A8B" w14:paraId="322AA240" w14:textId="77777777" w:rsidTr="00C90022">
        <w:trPr>
          <w:trHeight w:val="278"/>
        </w:trPr>
        <w:tc>
          <w:tcPr>
            <w:tcW w:w="2694" w:type="dxa"/>
            <w:shd w:val="clear" w:color="auto" w:fill="auto"/>
            <w:noWrap/>
            <w:vAlign w:val="bottom"/>
            <w:hideMark/>
          </w:tcPr>
          <w:p w14:paraId="0215D52D"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Natural killer cell mediated cytotoxicity</w:t>
            </w:r>
          </w:p>
        </w:tc>
        <w:tc>
          <w:tcPr>
            <w:tcW w:w="992" w:type="dxa"/>
            <w:shd w:val="clear" w:color="auto" w:fill="auto"/>
            <w:noWrap/>
            <w:vAlign w:val="bottom"/>
            <w:hideMark/>
          </w:tcPr>
          <w:p w14:paraId="1A9FD466" w14:textId="77777777" w:rsidR="00FF09FB" w:rsidRPr="003C0721" w:rsidRDefault="00FF09FB" w:rsidP="00580A8B">
            <w:pPr>
              <w:widowControl/>
              <w:jc w:val="righ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7</w:t>
            </w:r>
          </w:p>
        </w:tc>
        <w:tc>
          <w:tcPr>
            <w:tcW w:w="4620" w:type="dxa"/>
            <w:shd w:val="clear" w:color="auto" w:fill="auto"/>
            <w:noWrap/>
            <w:vAlign w:val="bottom"/>
            <w:hideMark/>
          </w:tcPr>
          <w:p w14:paraId="00A4179D" w14:textId="77777777" w:rsidR="00FF09FB" w:rsidRPr="003C0721" w:rsidRDefault="00FF09FB" w:rsidP="00580A8B">
            <w:pPr>
              <w:widowControl/>
              <w:jc w:val="left"/>
              <w:rPr>
                <w:rFonts w:ascii="Times New Roman" w:eastAsia="等线" w:hAnsi="Times New Roman" w:cs="Times New Roman"/>
                <w:b/>
                <w:color w:val="FF0000"/>
                <w:kern w:val="0"/>
                <w:sz w:val="20"/>
              </w:rPr>
            </w:pPr>
            <w:r w:rsidRPr="003C0721">
              <w:rPr>
                <w:rFonts w:ascii="Times New Roman" w:eastAsia="等线" w:hAnsi="Times New Roman" w:cs="Times New Roman"/>
                <w:b/>
                <w:color w:val="FF0000"/>
                <w:kern w:val="0"/>
                <w:sz w:val="20"/>
              </w:rPr>
              <w:t>CD48, ITGAL, SH2D1A, RAC2, FYN, PLCG2, CD247</w:t>
            </w:r>
          </w:p>
        </w:tc>
      </w:tr>
      <w:tr w:rsidR="00FF09FB" w:rsidRPr="00580A8B" w14:paraId="77279697" w14:textId="77777777" w:rsidTr="00C90022">
        <w:trPr>
          <w:trHeight w:val="278"/>
        </w:trPr>
        <w:tc>
          <w:tcPr>
            <w:tcW w:w="2694" w:type="dxa"/>
            <w:shd w:val="clear" w:color="auto" w:fill="auto"/>
            <w:noWrap/>
            <w:vAlign w:val="bottom"/>
            <w:hideMark/>
          </w:tcPr>
          <w:p w14:paraId="289F3E47"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Chemokine signaling pathway</w:t>
            </w:r>
          </w:p>
        </w:tc>
        <w:tc>
          <w:tcPr>
            <w:tcW w:w="992" w:type="dxa"/>
            <w:shd w:val="clear" w:color="auto" w:fill="auto"/>
            <w:noWrap/>
            <w:vAlign w:val="bottom"/>
            <w:hideMark/>
          </w:tcPr>
          <w:p w14:paraId="002504A6" w14:textId="77777777" w:rsidR="00FF09FB" w:rsidRPr="003C0721" w:rsidRDefault="00FF09FB" w:rsidP="00580A8B">
            <w:pPr>
              <w:widowControl/>
              <w:jc w:val="righ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7</w:t>
            </w:r>
          </w:p>
        </w:tc>
        <w:tc>
          <w:tcPr>
            <w:tcW w:w="4620" w:type="dxa"/>
            <w:shd w:val="clear" w:color="auto" w:fill="auto"/>
            <w:noWrap/>
            <w:vAlign w:val="bottom"/>
            <w:hideMark/>
          </w:tcPr>
          <w:p w14:paraId="272FFDC8" w14:textId="77777777" w:rsidR="00FF09FB" w:rsidRPr="003C0721" w:rsidRDefault="00FF09FB" w:rsidP="00580A8B">
            <w:pPr>
              <w:widowControl/>
              <w:jc w:val="left"/>
              <w:rPr>
                <w:rFonts w:ascii="Times New Roman" w:eastAsia="等线" w:hAnsi="Times New Roman" w:cs="Times New Roman"/>
                <w:color w:val="000000"/>
                <w:kern w:val="0"/>
                <w:sz w:val="20"/>
              </w:rPr>
            </w:pPr>
            <w:r w:rsidRPr="003C0721">
              <w:rPr>
                <w:rFonts w:ascii="Times New Roman" w:eastAsia="等线" w:hAnsi="Times New Roman" w:cs="Times New Roman"/>
                <w:color w:val="000000"/>
                <w:kern w:val="0"/>
                <w:sz w:val="20"/>
              </w:rPr>
              <w:t>ITK, CCR7, CXCR5, RAC2, CXCR4, CXCL13, GNG7</w:t>
            </w:r>
          </w:p>
        </w:tc>
      </w:tr>
    </w:tbl>
    <w:p w14:paraId="44C926E3" w14:textId="77777777" w:rsidR="00FF09FB" w:rsidRPr="00580A8B" w:rsidRDefault="00FF09FB" w:rsidP="00580A8B">
      <w:pPr>
        <w:widowControl/>
        <w:jc w:val="left"/>
        <w:rPr>
          <w:rFonts w:ascii="Times New Roman" w:eastAsia="宋体" w:hAnsi="Times New Roman" w:cs="Times New Roman"/>
          <w:b/>
          <w:color w:val="484848"/>
          <w:kern w:val="0"/>
          <w:szCs w:val="24"/>
        </w:rPr>
      </w:pPr>
      <w:r w:rsidRPr="00580A8B">
        <w:rPr>
          <w:rFonts w:ascii="Times New Roman" w:eastAsia="宋体" w:hAnsi="Times New Roman" w:cs="Times New Roman"/>
          <w:b/>
          <w:color w:val="484848"/>
          <w:kern w:val="0"/>
          <w:szCs w:val="24"/>
        </w:rPr>
        <w:t>Related genes=Number of genes associated with targeted pathways in KEGG pathways with top 10 count number.</w:t>
      </w:r>
    </w:p>
    <w:p w14:paraId="73E5B6A4" w14:textId="77777777" w:rsidR="00FF09FB" w:rsidRPr="00580A8B" w:rsidRDefault="00FF09FB" w:rsidP="00580A8B">
      <w:pPr>
        <w:widowControl/>
        <w:ind w:firstLineChars="200" w:firstLine="420"/>
        <w:jc w:val="left"/>
        <w:rPr>
          <w:rFonts w:ascii="Times New Roman" w:eastAsia="宋体" w:hAnsi="Times New Roman" w:cs="Times New Roman"/>
          <w:color w:val="484848"/>
          <w:kern w:val="0"/>
          <w:szCs w:val="24"/>
        </w:rPr>
      </w:pPr>
      <w:r w:rsidRPr="00580A8B">
        <w:rPr>
          <w:rFonts w:ascii="Times New Roman" w:eastAsia="宋体" w:hAnsi="Times New Roman" w:cs="Times New Roman"/>
          <w:color w:val="484848"/>
          <w:kern w:val="0"/>
          <w:szCs w:val="24"/>
        </w:rPr>
        <w:t xml:space="preserve">Black module is associated with immune response, therefore, the targeted pathway in KEGG pathways with top 10 count number means pathways associated with immune response. These pathways are hematopoietic cell lineage, primary immunodeficiency, B cell receptor signaling pathway, T cell receptor signaling pathway, intestinal immune network for IgA production, and natural killer cell mediated cytotoxicity (red and bold letters in the table above). Numbers of genes associated with targeted pathways in KEGG pathways with top 10 count number referrers to the total number of genes of these pathways (not the sum of count number of these pathways because genes enriched in different pathways may be overlapped, for instance, CD3D, CD3E, IL7R, CD38, CD19 and CD4 are both enriched in hematopoietic cell lineage pathway and primary immunodeficiency pathway. </w:t>
      </w:r>
      <w:r w:rsidRPr="00580A8B">
        <w:rPr>
          <w:rFonts w:ascii="Times New Roman" w:eastAsia="宋体" w:hAnsi="Times New Roman" w:cs="Times New Roman"/>
          <w:color w:val="FF0000"/>
          <w:kern w:val="0"/>
          <w:szCs w:val="24"/>
        </w:rPr>
        <w:t>Totally, there are 36 genes associated with targeted pathway, therefore, the Related genes=36.</w:t>
      </w:r>
      <w:r w:rsidRPr="00580A8B">
        <w:rPr>
          <w:rFonts w:ascii="Times New Roman" w:eastAsia="宋体" w:hAnsi="Times New Roman" w:cs="Times New Roman"/>
          <w:color w:val="484848"/>
          <w:kern w:val="0"/>
          <w:szCs w:val="24"/>
        </w:rPr>
        <w:t xml:space="preserve"> </w:t>
      </w:r>
    </w:p>
    <w:p w14:paraId="4E9CAC29" w14:textId="77777777" w:rsidR="00FF09FB" w:rsidRPr="00580A8B" w:rsidRDefault="00FF09FB" w:rsidP="00580A8B">
      <w:pPr>
        <w:widowControl/>
        <w:jc w:val="left"/>
        <w:rPr>
          <w:rFonts w:ascii="Times New Roman" w:eastAsia="宋体" w:hAnsi="Times New Roman" w:cs="Times New Roman"/>
          <w:b/>
          <w:color w:val="484848"/>
          <w:kern w:val="0"/>
          <w:szCs w:val="24"/>
        </w:rPr>
      </w:pPr>
      <w:r w:rsidRPr="00580A8B">
        <w:rPr>
          <w:rFonts w:ascii="Times New Roman" w:eastAsia="宋体" w:hAnsi="Times New Roman" w:cs="Times New Roman"/>
          <w:b/>
          <w:color w:val="484848"/>
          <w:kern w:val="0"/>
          <w:szCs w:val="24"/>
        </w:rPr>
        <w:t>All genes=Number of all genes in KEGG pathways with top 10 count number</w:t>
      </w:r>
    </w:p>
    <w:p w14:paraId="6B858106" w14:textId="77777777" w:rsidR="00FF09FB" w:rsidRPr="00580A8B" w:rsidRDefault="00FF09FB" w:rsidP="00580A8B">
      <w:pPr>
        <w:widowControl/>
        <w:ind w:firstLineChars="200" w:firstLine="420"/>
        <w:jc w:val="left"/>
        <w:rPr>
          <w:rFonts w:ascii="Times New Roman" w:eastAsia="宋体" w:hAnsi="Times New Roman" w:cs="Times New Roman"/>
          <w:color w:val="FF0000"/>
          <w:kern w:val="0"/>
          <w:szCs w:val="24"/>
        </w:rPr>
      </w:pPr>
      <w:r w:rsidRPr="00580A8B">
        <w:rPr>
          <w:rFonts w:ascii="Times New Roman" w:eastAsia="宋体" w:hAnsi="Times New Roman" w:cs="Times New Roman"/>
          <w:color w:val="484848"/>
          <w:kern w:val="0"/>
          <w:szCs w:val="24"/>
        </w:rPr>
        <w:t xml:space="preserve">Numbers of all genes in KEGG pathways with top 10 count number referrers to the total number of genes all the 10 pathways in the table above. </w:t>
      </w:r>
      <w:r w:rsidRPr="00580A8B">
        <w:rPr>
          <w:rFonts w:ascii="Times New Roman" w:eastAsia="宋体" w:hAnsi="Times New Roman" w:cs="Times New Roman"/>
          <w:color w:val="FF0000"/>
          <w:kern w:val="0"/>
          <w:szCs w:val="24"/>
        </w:rPr>
        <w:t>Totally, there are 50 genes for all the 10 pathways, therefore, the All genes=50.</w:t>
      </w:r>
    </w:p>
    <w:p w14:paraId="7BB3C51A" w14:textId="77777777" w:rsidR="00FF09FB" w:rsidRPr="00580A8B" w:rsidRDefault="00FF09FB" w:rsidP="00580A8B">
      <w:pPr>
        <w:widowControl/>
        <w:ind w:firstLineChars="200" w:firstLine="420"/>
        <w:jc w:val="left"/>
        <w:rPr>
          <w:rFonts w:ascii="Times New Roman" w:eastAsia="宋体" w:hAnsi="Times New Roman" w:cs="Times New Roman"/>
          <w:color w:val="000000" w:themeColor="text1"/>
          <w:szCs w:val="24"/>
        </w:rPr>
      </w:pPr>
      <w:r w:rsidRPr="00580A8B">
        <w:rPr>
          <w:rFonts w:ascii="Times New Roman" w:eastAsia="宋体" w:hAnsi="Times New Roman" w:cs="Times New Roman"/>
          <w:color w:val="484848"/>
          <w:kern w:val="0"/>
          <w:szCs w:val="24"/>
        </w:rPr>
        <w:lastRenderedPageBreak/>
        <w:t xml:space="preserve">The percentage of genes associated with </w:t>
      </w:r>
      <w:r w:rsidRPr="00580A8B">
        <w:rPr>
          <w:rFonts w:ascii="Times New Roman" w:eastAsia="宋体" w:hAnsi="Times New Roman" w:cs="Times New Roman"/>
          <w:color w:val="000000" w:themeColor="text1"/>
          <w:szCs w:val="24"/>
        </w:rPr>
        <w:t>targeted pathways (pathways of immune response for black module in AAA condition)</w:t>
      </w:r>
      <w:r w:rsidRPr="00580A8B">
        <w:rPr>
          <w:rFonts w:ascii="Times New Roman" w:eastAsia="宋体" w:hAnsi="Times New Roman" w:cs="Times New Roman"/>
          <w:color w:val="484848"/>
          <w:kern w:val="0"/>
          <w:szCs w:val="24"/>
        </w:rPr>
        <w:t xml:space="preserve"> (related genes%) = </w:t>
      </w:r>
      <m:oMath>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Related genes</m:t>
            </m:r>
          </m:num>
          <m:den>
            <m:r>
              <m:rPr>
                <m:sty m:val="p"/>
              </m:rPr>
              <w:rPr>
                <w:rFonts w:ascii="Cambria Math" w:hAnsi="Cambria Math" w:cs="Times New Roman"/>
                <w:color w:val="000000" w:themeColor="text1"/>
                <w:szCs w:val="24"/>
              </w:rPr>
              <m:t>All genes</m:t>
            </m:r>
          </m:den>
        </m:f>
        <m:r>
          <w:rPr>
            <w:rFonts w:ascii="Cambria Math" w:hAnsi="Cambria Math" w:cs="Times New Roman"/>
            <w:color w:val="000000" w:themeColor="text1"/>
            <w:szCs w:val="24"/>
          </w:rPr>
          <m:t>*100%.</m:t>
        </m:r>
      </m:oMath>
      <w:r w:rsidRPr="00580A8B">
        <w:rPr>
          <w:rFonts w:ascii="Times New Roman" w:eastAsia="宋体" w:hAnsi="Times New Roman" w:cs="Times New Roman"/>
          <w:color w:val="000000" w:themeColor="text1"/>
          <w:szCs w:val="24"/>
        </w:rPr>
        <w:t xml:space="preserve"> Therefore, related genes% =</w:t>
      </w:r>
      <m:oMath>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36</m:t>
            </m:r>
          </m:num>
          <m:den>
            <m:r>
              <m:rPr>
                <m:sty m:val="p"/>
              </m:rPr>
              <w:rPr>
                <w:rFonts w:ascii="Cambria Math" w:hAnsi="Cambria Math" w:cs="Times New Roman"/>
                <w:color w:val="000000" w:themeColor="text1"/>
                <w:szCs w:val="24"/>
              </w:rPr>
              <m:t>50</m:t>
            </m:r>
          </m:den>
        </m:f>
        <m:r>
          <w:rPr>
            <w:rFonts w:ascii="Cambria Math" w:hAnsi="Cambria Math" w:cs="Times New Roman"/>
            <w:color w:val="000000" w:themeColor="text1"/>
            <w:szCs w:val="24"/>
          </w:rPr>
          <m:t>*100%</m:t>
        </m:r>
      </m:oMath>
      <w:r w:rsidRPr="00580A8B">
        <w:rPr>
          <w:rFonts w:ascii="Times New Roman" w:eastAsia="宋体" w:hAnsi="Times New Roman" w:cs="Times New Roman"/>
          <w:color w:val="000000" w:themeColor="text1"/>
          <w:szCs w:val="24"/>
        </w:rPr>
        <w:t xml:space="preserve">=72%. </w:t>
      </w:r>
    </w:p>
    <w:p w14:paraId="3A9D7573" w14:textId="77777777" w:rsidR="00FF09FB" w:rsidRPr="00580A8B" w:rsidRDefault="00FF09FB" w:rsidP="00580A8B">
      <w:pPr>
        <w:widowControl/>
        <w:ind w:firstLineChars="200" w:firstLine="420"/>
        <w:jc w:val="left"/>
        <w:rPr>
          <w:rFonts w:ascii="Times New Roman" w:eastAsia="宋体" w:hAnsi="Times New Roman" w:cs="Times New Roman"/>
          <w:color w:val="484848"/>
          <w:kern w:val="0"/>
          <w:szCs w:val="24"/>
        </w:rPr>
      </w:pPr>
      <w:r w:rsidRPr="00580A8B">
        <w:rPr>
          <w:rFonts w:ascii="Times New Roman" w:eastAsia="宋体" w:hAnsi="Times New Roman" w:cs="Times New Roman"/>
          <w:color w:val="484848"/>
          <w:kern w:val="0"/>
          <w:szCs w:val="24"/>
        </w:rPr>
        <w:t xml:space="preserve">Then we found that these targeted pathways were distributed in </w:t>
      </w:r>
      <w:proofErr w:type="spellStart"/>
      <w:r w:rsidRPr="00580A8B">
        <w:rPr>
          <w:rFonts w:ascii="Times New Roman" w:eastAsia="宋体" w:hAnsi="Times New Roman" w:cs="Times New Roman"/>
          <w:color w:val="484848"/>
          <w:kern w:val="0"/>
          <w:szCs w:val="24"/>
        </w:rPr>
        <w:t>darkgreen</w:t>
      </w:r>
      <w:proofErr w:type="spellEnd"/>
      <w:r w:rsidRPr="00580A8B">
        <w:rPr>
          <w:rFonts w:ascii="Times New Roman" w:eastAsia="宋体" w:hAnsi="Times New Roman" w:cs="Times New Roman"/>
          <w:color w:val="484848"/>
          <w:kern w:val="0"/>
          <w:szCs w:val="24"/>
        </w:rPr>
        <w:t xml:space="preserve"> module in normal condition. </w:t>
      </w:r>
      <w:proofErr w:type="gramStart"/>
      <w:r w:rsidRPr="00580A8B">
        <w:rPr>
          <w:rFonts w:ascii="Times New Roman" w:eastAsia="宋体" w:hAnsi="Times New Roman" w:cs="Times New Roman"/>
          <w:color w:val="484848"/>
          <w:kern w:val="0"/>
          <w:szCs w:val="24"/>
        </w:rPr>
        <w:t>So</w:t>
      </w:r>
      <w:proofErr w:type="gramEnd"/>
      <w:r w:rsidRPr="00580A8B">
        <w:rPr>
          <w:rFonts w:ascii="Times New Roman" w:eastAsia="宋体" w:hAnsi="Times New Roman" w:cs="Times New Roman"/>
          <w:color w:val="484848"/>
          <w:kern w:val="0"/>
          <w:szCs w:val="24"/>
        </w:rPr>
        <w:t xml:space="preserve"> we calculated the related genes% for </w:t>
      </w:r>
      <w:proofErr w:type="spellStart"/>
      <w:r w:rsidRPr="00580A8B">
        <w:rPr>
          <w:rFonts w:ascii="Times New Roman" w:eastAsia="宋体" w:hAnsi="Times New Roman" w:cs="Times New Roman"/>
          <w:color w:val="484848"/>
          <w:kern w:val="0"/>
          <w:szCs w:val="24"/>
        </w:rPr>
        <w:t>darkgreen</w:t>
      </w:r>
      <w:proofErr w:type="spellEnd"/>
      <w:r w:rsidRPr="00580A8B">
        <w:rPr>
          <w:rFonts w:ascii="Times New Roman" w:eastAsia="宋体" w:hAnsi="Times New Roman" w:cs="Times New Roman"/>
          <w:color w:val="484848"/>
          <w:kern w:val="0"/>
          <w:szCs w:val="24"/>
        </w:rPr>
        <w:t xml:space="preserve"> module in normal condition using the same method. </w:t>
      </w:r>
    </w:p>
    <w:p w14:paraId="45AF921F" w14:textId="77777777" w:rsidR="00FF09FB" w:rsidRPr="00580A8B" w:rsidRDefault="00FF09FB" w:rsidP="00580A8B">
      <w:pPr>
        <w:widowControl/>
        <w:ind w:firstLineChars="200" w:firstLine="420"/>
        <w:jc w:val="left"/>
        <w:rPr>
          <w:rFonts w:ascii="Times New Roman" w:eastAsia="宋体" w:hAnsi="Times New Roman" w:cs="Times New Roman"/>
          <w:color w:val="484848"/>
          <w:kern w:val="0"/>
          <w:szCs w:val="24"/>
        </w:rPr>
      </w:pPr>
      <w:r w:rsidRPr="00580A8B">
        <w:rPr>
          <w:rFonts w:ascii="Times New Roman" w:eastAsia="宋体" w:hAnsi="Times New Roman" w:cs="Times New Roman"/>
          <w:color w:val="484848"/>
          <w:kern w:val="0"/>
          <w:szCs w:val="24"/>
        </w:rPr>
        <w:t xml:space="preserve">Finally, we compared the </w:t>
      </w:r>
      <w:proofErr w:type="gramStart"/>
      <w:r w:rsidRPr="00580A8B">
        <w:rPr>
          <w:rFonts w:ascii="Times New Roman" w:eastAsia="宋体" w:hAnsi="Times New Roman" w:cs="Times New Roman"/>
          <w:color w:val="484848"/>
          <w:kern w:val="0"/>
          <w:szCs w:val="24"/>
        </w:rPr>
        <w:t>two percentage</w:t>
      </w:r>
      <w:proofErr w:type="gramEnd"/>
      <w:r w:rsidRPr="00580A8B">
        <w:rPr>
          <w:rFonts w:ascii="Times New Roman" w:eastAsia="宋体" w:hAnsi="Times New Roman" w:cs="Times New Roman"/>
          <w:color w:val="484848"/>
          <w:kern w:val="0"/>
          <w:szCs w:val="24"/>
        </w:rPr>
        <w:t xml:space="preserve"> using chi-square analysis test and find that related genes% for black module in AAA condition is significant larger than the related genes% for </w:t>
      </w:r>
      <w:proofErr w:type="spellStart"/>
      <w:r w:rsidRPr="00580A8B">
        <w:rPr>
          <w:rFonts w:ascii="Times New Roman" w:eastAsia="宋体" w:hAnsi="Times New Roman" w:cs="Times New Roman"/>
          <w:color w:val="484848"/>
          <w:kern w:val="0"/>
          <w:szCs w:val="24"/>
        </w:rPr>
        <w:t>darkgreen</w:t>
      </w:r>
      <w:proofErr w:type="spellEnd"/>
      <w:r w:rsidRPr="00580A8B">
        <w:rPr>
          <w:rFonts w:ascii="Times New Roman" w:eastAsia="宋体" w:hAnsi="Times New Roman" w:cs="Times New Roman"/>
          <w:color w:val="484848"/>
          <w:kern w:val="0"/>
          <w:szCs w:val="24"/>
        </w:rPr>
        <w:t xml:space="preserve"> module in normal condition (72.0% </w:t>
      </w:r>
      <w:proofErr w:type="spellStart"/>
      <w:r w:rsidRPr="00580A8B">
        <w:rPr>
          <w:rFonts w:ascii="Times New Roman" w:eastAsia="宋体" w:hAnsi="Times New Roman" w:cs="Times New Roman"/>
          <w:color w:val="484848"/>
          <w:kern w:val="0"/>
          <w:szCs w:val="24"/>
        </w:rPr>
        <w:t>v.s</w:t>
      </w:r>
      <w:proofErr w:type="spellEnd"/>
      <w:r w:rsidRPr="00580A8B">
        <w:rPr>
          <w:rFonts w:ascii="Times New Roman" w:eastAsia="宋体" w:hAnsi="Times New Roman" w:cs="Times New Roman"/>
          <w:color w:val="484848"/>
          <w:kern w:val="0"/>
          <w:szCs w:val="24"/>
        </w:rPr>
        <w:t xml:space="preserve">. 46.7%, p=0.023). Thus, we inferred that the pathways associated with immune response were scattered in normal condition. </w:t>
      </w:r>
    </w:p>
    <w:p w14:paraId="74F0F86E" w14:textId="69CC1B44" w:rsidR="002D5E86" w:rsidRPr="00580A8B" w:rsidRDefault="00FF09FB" w:rsidP="00580A8B">
      <w:pPr>
        <w:widowControl/>
        <w:jc w:val="left"/>
        <w:rPr>
          <w:rFonts w:ascii="Times New Roman" w:eastAsia="宋体" w:hAnsi="Times New Roman" w:cs="Times New Roman" w:hint="eastAsia"/>
          <w:color w:val="484848"/>
          <w:kern w:val="0"/>
          <w:szCs w:val="24"/>
        </w:rPr>
      </w:pPr>
      <w:r w:rsidRPr="00580A8B">
        <w:rPr>
          <w:rFonts w:ascii="Times New Roman" w:eastAsia="宋体" w:hAnsi="Times New Roman" w:cs="Times New Roman"/>
          <w:color w:val="484848"/>
          <w:kern w:val="0"/>
          <w:szCs w:val="24"/>
        </w:rPr>
        <w:t xml:space="preserve">Similar analysis was conducted on the red and turquoise modules for the AAA </w:t>
      </w:r>
      <w:r w:rsidRPr="00580A8B">
        <w:rPr>
          <w:rFonts w:ascii="Times New Roman" w:eastAsia="宋体" w:hAnsi="Times New Roman" w:cs="Times New Roman"/>
          <w:color w:val="000000" w:themeColor="text1"/>
          <w:kern w:val="0"/>
          <w:szCs w:val="24"/>
        </w:rPr>
        <w:t>c</w:t>
      </w:r>
      <w:r w:rsidRPr="00580A8B">
        <w:rPr>
          <w:rFonts w:ascii="Times New Roman" w:eastAsia="宋体" w:hAnsi="Times New Roman" w:cs="Times New Roman"/>
          <w:color w:val="484848"/>
          <w:kern w:val="0"/>
          <w:szCs w:val="24"/>
        </w:rPr>
        <w:t>ondition and the corresponding modules for the normal condition.</w:t>
      </w:r>
    </w:p>
    <w:sectPr w:rsidR="002D5E86" w:rsidRPr="00580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7CB3" w14:textId="77777777" w:rsidR="00FF09FB" w:rsidRDefault="00FF09FB" w:rsidP="00FF09FB">
      <w:r>
        <w:separator/>
      </w:r>
    </w:p>
  </w:endnote>
  <w:endnote w:type="continuationSeparator" w:id="0">
    <w:p w14:paraId="7C49B7AD" w14:textId="77777777" w:rsidR="00FF09FB" w:rsidRDefault="00FF09FB" w:rsidP="00FF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EA36" w14:textId="77777777" w:rsidR="00FF09FB" w:rsidRDefault="00FF09FB" w:rsidP="00FF09FB">
      <w:r>
        <w:separator/>
      </w:r>
    </w:p>
  </w:footnote>
  <w:footnote w:type="continuationSeparator" w:id="0">
    <w:p w14:paraId="3DDFF618" w14:textId="77777777" w:rsidR="00FF09FB" w:rsidRDefault="00FF09FB" w:rsidP="00FF0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6A"/>
    <w:rsid w:val="002D5E86"/>
    <w:rsid w:val="003C0721"/>
    <w:rsid w:val="00580A8B"/>
    <w:rsid w:val="0076166A"/>
    <w:rsid w:val="00FF0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96DCA"/>
  <w15:chartTrackingRefBased/>
  <w15:docId w15:val="{EC42DF84-D6EF-4152-B7C0-87CA2851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9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09FB"/>
    <w:rPr>
      <w:sz w:val="18"/>
      <w:szCs w:val="18"/>
    </w:rPr>
  </w:style>
  <w:style w:type="paragraph" w:styleId="a5">
    <w:name w:val="footer"/>
    <w:basedOn w:val="a"/>
    <w:link w:val="a6"/>
    <w:uiPriority w:val="99"/>
    <w:unhideWhenUsed/>
    <w:rsid w:val="00FF09FB"/>
    <w:pPr>
      <w:tabs>
        <w:tab w:val="center" w:pos="4153"/>
        <w:tab w:val="right" w:pos="8306"/>
      </w:tabs>
      <w:snapToGrid w:val="0"/>
      <w:jc w:val="left"/>
    </w:pPr>
    <w:rPr>
      <w:sz w:val="18"/>
      <w:szCs w:val="18"/>
    </w:rPr>
  </w:style>
  <w:style w:type="character" w:customStyle="1" w:styleId="a6">
    <w:name w:val="页脚 字符"/>
    <w:basedOn w:val="a0"/>
    <w:link w:val="a5"/>
    <w:uiPriority w:val="99"/>
    <w:rsid w:val="00FF0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Dr.</dc:creator>
  <cp:keywords/>
  <dc:description/>
  <cp:lastModifiedBy>Who Dr.</cp:lastModifiedBy>
  <cp:revision>4</cp:revision>
  <dcterms:created xsi:type="dcterms:W3CDTF">2019-09-03T08:25:00Z</dcterms:created>
  <dcterms:modified xsi:type="dcterms:W3CDTF">2019-09-03T08:44:00Z</dcterms:modified>
</cp:coreProperties>
</file>