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E4" w:rsidRPr="004D3A80" w:rsidRDefault="00A508E4" w:rsidP="0006193F">
      <w:pPr>
        <w:spacing w:after="0" w:line="360" w:lineRule="auto"/>
        <w:jc w:val="center"/>
        <w:rPr>
          <w:rFonts w:ascii="Arial" w:hAnsi="Arial" w:cs="Arial"/>
          <w:b/>
          <w:lang w:val="en-GB"/>
        </w:rPr>
      </w:pPr>
      <w:r w:rsidRPr="004D3A80">
        <w:rPr>
          <w:rFonts w:ascii="Arial" w:hAnsi="Arial" w:cs="Arial"/>
          <w:b/>
          <w:lang w:val="en-GB"/>
        </w:rPr>
        <w:t>Fundamental niche unfilling and potential invasion risk of the slider turtle</w:t>
      </w:r>
      <w:r w:rsidRPr="004D3A80">
        <w:rPr>
          <w:rFonts w:ascii="Arial" w:hAnsi="Arial" w:cs="Arial"/>
          <w:b/>
          <w:i/>
          <w:lang w:val="en-GB"/>
        </w:rPr>
        <w:t xml:space="preserve"> Trachemys scripta</w:t>
      </w:r>
    </w:p>
    <w:p w:rsidR="00901425" w:rsidRPr="004D3A80" w:rsidRDefault="00901425" w:rsidP="0006193F">
      <w:pPr>
        <w:spacing w:after="0" w:line="360" w:lineRule="auto"/>
        <w:jc w:val="center"/>
        <w:rPr>
          <w:rFonts w:ascii="Arial" w:hAnsi="Arial" w:cs="Arial"/>
          <w:b/>
          <w:lang w:val="en-GB"/>
        </w:rPr>
      </w:pPr>
      <w:r w:rsidRPr="004D3A80">
        <w:rPr>
          <w:rFonts w:ascii="Arial" w:hAnsi="Arial" w:cs="Arial"/>
          <w:lang w:val="en-GB"/>
        </w:rPr>
        <w:t>Sayra Espindola, Juan L. Parra, Ella Vázquez-Domínguez</w:t>
      </w:r>
    </w:p>
    <w:p w:rsidR="00901425" w:rsidRPr="004D3A80" w:rsidRDefault="00901425" w:rsidP="0006193F">
      <w:pPr>
        <w:spacing w:after="0" w:line="360" w:lineRule="auto"/>
        <w:jc w:val="center"/>
        <w:rPr>
          <w:rFonts w:ascii="Arial" w:hAnsi="Arial" w:cs="Arial"/>
          <w:lang w:val="en-GB"/>
        </w:rPr>
      </w:pPr>
      <w:r w:rsidRPr="004D3A80">
        <w:rPr>
          <w:rFonts w:ascii="Arial" w:hAnsi="Arial" w:cs="Arial"/>
          <w:lang w:val="en-GB"/>
        </w:rPr>
        <w:t>Su</w:t>
      </w:r>
      <w:r w:rsidR="00A85CEB" w:rsidRPr="004D3A80">
        <w:rPr>
          <w:rFonts w:ascii="Arial" w:hAnsi="Arial" w:cs="Arial"/>
          <w:lang w:val="en-GB"/>
        </w:rPr>
        <w:t xml:space="preserve">pplemental </w:t>
      </w:r>
      <w:r w:rsidR="0006193F" w:rsidRPr="004D3A80">
        <w:rPr>
          <w:rFonts w:ascii="Arial" w:hAnsi="Arial" w:cs="Arial"/>
          <w:lang w:val="en-GB"/>
        </w:rPr>
        <w:t>Glossary</w:t>
      </w:r>
      <w:r w:rsidR="00A85CEB" w:rsidRPr="004D3A80">
        <w:rPr>
          <w:rFonts w:ascii="Arial" w:hAnsi="Arial" w:cs="Arial"/>
          <w:lang w:val="en-GB"/>
        </w:rPr>
        <w:t xml:space="preserve"> S1</w:t>
      </w:r>
    </w:p>
    <w:p w:rsidR="00A508E4" w:rsidRPr="004D3A80" w:rsidRDefault="00A508E4" w:rsidP="0006193F">
      <w:pPr>
        <w:spacing w:after="0" w:line="360" w:lineRule="auto"/>
        <w:rPr>
          <w:rFonts w:ascii="Arial" w:hAnsi="Arial" w:cs="Arial"/>
          <w:b/>
          <w:lang w:val="en-GB"/>
        </w:rPr>
      </w:pPr>
    </w:p>
    <w:p w:rsidR="00A508E4" w:rsidRPr="004D3A80" w:rsidRDefault="00A508E4" w:rsidP="0006193F">
      <w:pPr>
        <w:spacing w:after="0" w:line="360" w:lineRule="auto"/>
        <w:rPr>
          <w:rFonts w:ascii="Arial" w:hAnsi="Arial" w:cs="Arial"/>
          <w:b/>
          <w:lang w:val="en-GB"/>
        </w:rPr>
      </w:pPr>
    </w:p>
    <w:p w:rsidR="0006193F" w:rsidRPr="004D3A80" w:rsidRDefault="0006193F" w:rsidP="0006193F">
      <w:pPr>
        <w:spacing w:after="0" w:line="360" w:lineRule="auto"/>
        <w:rPr>
          <w:rFonts w:ascii="Arial" w:hAnsi="Arial"/>
          <w:b/>
          <w:szCs w:val="24"/>
          <w:lang w:val="en-GB"/>
        </w:rPr>
      </w:pPr>
      <w:r w:rsidRPr="004D3A80">
        <w:rPr>
          <w:rFonts w:ascii="Arial" w:hAnsi="Arial"/>
          <w:b/>
          <w:szCs w:val="24"/>
          <w:lang w:val="en-GB"/>
        </w:rPr>
        <w:t>Glossary</w:t>
      </w:r>
    </w:p>
    <w:p w:rsidR="0006193F" w:rsidRPr="004D3A80" w:rsidRDefault="0006193F" w:rsidP="0006193F">
      <w:pPr>
        <w:spacing w:after="0" w:line="360" w:lineRule="auto"/>
        <w:rPr>
          <w:rFonts w:ascii="Arial" w:hAnsi="Arial"/>
          <w:szCs w:val="24"/>
          <w:lang w:val="en-GB"/>
        </w:rPr>
      </w:pPr>
    </w:p>
    <w:p w:rsidR="0006193F" w:rsidRPr="004D3A80" w:rsidRDefault="0006193F" w:rsidP="0006193F">
      <w:pPr>
        <w:spacing w:after="0" w:line="360" w:lineRule="auto"/>
        <w:rPr>
          <w:rFonts w:ascii="Arial" w:hAnsi="Arial"/>
          <w:b/>
          <w:szCs w:val="24"/>
          <w:lang w:val="en-GB"/>
        </w:rPr>
      </w:pPr>
      <w:r w:rsidRPr="004D3A80">
        <w:rPr>
          <w:rFonts w:ascii="Arial" w:hAnsi="Arial"/>
          <w:b/>
          <w:szCs w:val="24"/>
          <w:lang w:val="en-GB"/>
        </w:rPr>
        <w:t>Analog climate</w:t>
      </w:r>
      <w:r w:rsidRPr="004D3A80">
        <w:rPr>
          <w:rFonts w:ascii="Arial" w:hAnsi="Arial"/>
          <w:szCs w:val="24"/>
          <w:lang w:val="en-GB"/>
        </w:rPr>
        <w:t xml:space="preserve">: the combination of climatic conditions present in one area (or time) that is within the envelope of climatic conditions found in a different area (or time) and used for comparison. The contrary is referred to as </w:t>
      </w:r>
      <w:r w:rsidRPr="004D3A80">
        <w:rPr>
          <w:rFonts w:ascii="Arial" w:hAnsi="Arial"/>
          <w:b/>
          <w:szCs w:val="24"/>
          <w:lang w:val="en-GB"/>
        </w:rPr>
        <w:t>non-analog climate</w:t>
      </w:r>
      <w:r w:rsidRPr="004D3A80">
        <w:rPr>
          <w:rFonts w:ascii="Arial" w:hAnsi="Arial"/>
          <w:szCs w:val="24"/>
          <w:lang w:val="en-GB"/>
        </w:rPr>
        <w:t>.</w:t>
      </w:r>
    </w:p>
    <w:p w:rsidR="0006193F" w:rsidRPr="004D3A80" w:rsidRDefault="0006193F" w:rsidP="0006193F">
      <w:pPr>
        <w:spacing w:after="0" w:line="360" w:lineRule="auto"/>
        <w:rPr>
          <w:rFonts w:ascii="Arial" w:hAnsi="Arial"/>
          <w:b/>
          <w:szCs w:val="24"/>
          <w:lang w:val="en-GB"/>
        </w:rPr>
      </w:pPr>
    </w:p>
    <w:p w:rsidR="0006193F" w:rsidRPr="004D3A80" w:rsidRDefault="0006193F" w:rsidP="0006193F">
      <w:pPr>
        <w:spacing w:after="0" w:line="360" w:lineRule="auto"/>
        <w:rPr>
          <w:rFonts w:ascii="Arial" w:hAnsi="Arial"/>
          <w:szCs w:val="24"/>
          <w:lang w:val="en-GB"/>
        </w:rPr>
      </w:pPr>
      <w:r w:rsidRPr="004D3A80">
        <w:rPr>
          <w:rFonts w:ascii="Arial" w:hAnsi="Arial"/>
          <w:b/>
          <w:szCs w:val="24"/>
          <w:lang w:val="en-GB"/>
        </w:rPr>
        <w:t>Environmental space</w:t>
      </w:r>
      <w:r w:rsidRPr="004D3A80">
        <w:rPr>
          <w:rFonts w:ascii="Arial" w:hAnsi="Arial"/>
          <w:szCs w:val="24"/>
          <w:lang w:val="en-GB"/>
        </w:rPr>
        <w:t xml:space="preserve">: all the possible combinations between two environmental variables (or more in a </w:t>
      </w:r>
      <w:r w:rsidRPr="004D3A80">
        <w:rPr>
          <w:rFonts w:ascii="Arial" w:hAnsi="Arial"/>
          <w:i/>
          <w:szCs w:val="24"/>
          <w:lang w:val="en-GB"/>
        </w:rPr>
        <w:t>n</w:t>
      </w:r>
      <w:r w:rsidRPr="004D3A80">
        <w:rPr>
          <w:rFonts w:ascii="Arial" w:hAnsi="Arial"/>
          <w:szCs w:val="24"/>
          <w:lang w:val="en-GB"/>
        </w:rPr>
        <w:t xml:space="preserve">-multidimensional space), which can be represented –or not– on the geographic space; also referred to as “environmental range”.  </w:t>
      </w:r>
      <w:proofErr w:type="gramStart"/>
      <w:r w:rsidRPr="004D3A80">
        <w:rPr>
          <w:rFonts w:ascii="Arial" w:hAnsi="Arial"/>
          <w:szCs w:val="24"/>
          <w:lang w:val="en-GB"/>
        </w:rPr>
        <w:t>In Figure 1, the environmental space is delimited by the blue square box</w:t>
      </w:r>
      <w:proofErr w:type="gramEnd"/>
      <w:r w:rsidRPr="004D3A80">
        <w:rPr>
          <w:rFonts w:ascii="Arial" w:hAnsi="Arial"/>
          <w:szCs w:val="24"/>
          <w:lang w:val="en-GB"/>
        </w:rPr>
        <w:t xml:space="preserve"> (“a”).</w:t>
      </w:r>
    </w:p>
    <w:p w:rsidR="0006193F" w:rsidRPr="004D3A80" w:rsidRDefault="0006193F" w:rsidP="0006193F">
      <w:pPr>
        <w:spacing w:after="0" w:line="360" w:lineRule="auto"/>
        <w:rPr>
          <w:rFonts w:ascii="Arial" w:hAnsi="Arial"/>
          <w:b/>
          <w:szCs w:val="24"/>
          <w:lang w:val="en-GB"/>
        </w:rPr>
      </w:pPr>
    </w:p>
    <w:p w:rsidR="0006193F" w:rsidRPr="004D3A80" w:rsidRDefault="0006193F" w:rsidP="00965C78">
      <w:pPr>
        <w:spacing w:after="0" w:line="360" w:lineRule="auto"/>
        <w:rPr>
          <w:rFonts w:ascii="Arial" w:hAnsi="Arial"/>
          <w:szCs w:val="24"/>
          <w:lang w:val="en-GB"/>
        </w:rPr>
      </w:pPr>
      <w:r w:rsidRPr="004D3A80">
        <w:rPr>
          <w:rFonts w:ascii="Arial" w:hAnsi="Arial"/>
          <w:b/>
          <w:szCs w:val="24"/>
          <w:lang w:val="en-GB"/>
        </w:rPr>
        <w:t>Fundamental niche</w:t>
      </w:r>
      <w:r w:rsidRPr="004D3A80">
        <w:rPr>
          <w:rFonts w:ascii="Arial" w:hAnsi="Arial"/>
          <w:szCs w:val="24"/>
          <w:lang w:val="en-GB"/>
        </w:rPr>
        <w:t xml:space="preserve">: </w:t>
      </w:r>
      <w:r w:rsidR="00957F64" w:rsidRPr="00957F64">
        <w:rPr>
          <w:rFonts w:ascii="Arial" w:hAnsi="Arial"/>
          <w:szCs w:val="24"/>
          <w:lang w:val="en-GB"/>
        </w:rPr>
        <w:t xml:space="preserve">of a species consisting of the suite </w:t>
      </w:r>
      <w:r w:rsidR="00957F64" w:rsidRPr="004D3A80">
        <w:rPr>
          <w:rFonts w:ascii="Arial" w:hAnsi="Arial"/>
          <w:szCs w:val="24"/>
          <w:lang w:val="en-GB"/>
        </w:rPr>
        <w:t xml:space="preserve">of environmental (abiotic) conditions in a </w:t>
      </w:r>
      <w:r w:rsidR="00957F64" w:rsidRPr="004D3A80">
        <w:rPr>
          <w:rFonts w:ascii="Arial" w:hAnsi="Arial"/>
          <w:i/>
          <w:szCs w:val="24"/>
          <w:lang w:val="en-GB"/>
        </w:rPr>
        <w:t>n</w:t>
      </w:r>
      <w:r w:rsidR="00957F64" w:rsidRPr="004D3A80">
        <w:rPr>
          <w:rFonts w:ascii="Arial" w:hAnsi="Arial"/>
          <w:szCs w:val="24"/>
          <w:lang w:val="en-GB"/>
        </w:rPr>
        <w:t xml:space="preserve">-dimensional environmental space </w:t>
      </w:r>
      <w:r w:rsidR="00957F64" w:rsidRPr="00957F64">
        <w:rPr>
          <w:rFonts w:ascii="Arial" w:hAnsi="Arial"/>
          <w:szCs w:val="24"/>
          <w:lang w:val="en-GB"/>
        </w:rPr>
        <w:t>that permit survival</w:t>
      </w:r>
      <w:r w:rsidR="00957F64">
        <w:rPr>
          <w:rFonts w:ascii="Arial" w:hAnsi="Arial"/>
          <w:szCs w:val="24"/>
          <w:lang w:val="en-GB"/>
        </w:rPr>
        <w:t xml:space="preserve"> </w:t>
      </w:r>
      <w:r w:rsidR="00957F64" w:rsidRPr="00957F64">
        <w:rPr>
          <w:rFonts w:ascii="Arial" w:hAnsi="Arial"/>
          <w:szCs w:val="24"/>
          <w:lang w:val="en-GB"/>
        </w:rPr>
        <w:t>and reproduction of individuals (Hutchinson</w:t>
      </w:r>
      <w:r w:rsidR="0045351D">
        <w:rPr>
          <w:rFonts w:ascii="Arial" w:hAnsi="Arial"/>
          <w:szCs w:val="24"/>
          <w:lang w:val="en-GB"/>
        </w:rPr>
        <w:t>,</w:t>
      </w:r>
      <w:r w:rsidR="00957F64">
        <w:rPr>
          <w:rFonts w:ascii="Arial" w:hAnsi="Arial"/>
          <w:szCs w:val="24"/>
          <w:lang w:val="en-GB"/>
        </w:rPr>
        <w:t xml:space="preserve"> </w:t>
      </w:r>
      <w:r w:rsidR="00957F64" w:rsidRPr="00957F64">
        <w:rPr>
          <w:rFonts w:ascii="Arial" w:hAnsi="Arial"/>
          <w:szCs w:val="24"/>
          <w:lang w:val="en-GB"/>
        </w:rPr>
        <w:t>1978</w:t>
      </w:r>
      <w:r w:rsidR="00957F64">
        <w:rPr>
          <w:rFonts w:ascii="Arial" w:hAnsi="Arial"/>
          <w:szCs w:val="24"/>
          <w:lang w:val="en-GB"/>
        </w:rPr>
        <w:t xml:space="preserve">). </w:t>
      </w:r>
      <w:r w:rsidR="00FB682D">
        <w:rPr>
          <w:rFonts w:ascii="Arial" w:hAnsi="Arial"/>
          <w:szCs w:val="24"/>
          <w:lang w:val="en-GB"/>
        </w:rPr>
        <w:t xml:space="preserve"> </w:t>
      </w:r>
      <w:r w:rsidR="00957F64">
        <w:rPr>
          <w:rFonts w:ascii="Arial" w:hAnsi="Arial"/>
          <w:szCs w:val="24"/>
          <w:lang w:val="en-GB"/>
        </w:rPr>
        <w:t>It i</w:t>
      </w:r>
      <w:r w:rsidR="00965C78" w:rsidRPr="00965C78">
        <w:rPr>
          <w:rFonts w:ascii="Arial" w:hAnsi="Arial"/>
          <w:szCs w:val="24"/>
          <w:lang w:val="en-US"/>
        </w:rPr>
        <w:t xml:space="preserve">s determined by </w:t>
      </w:r>
      <w:r w:rsidR="00957F64">
        <w:rPr>
          <w:rFonts w:ascii="Arial" w:hAnsi="Arial"/>
          <w:szCs w:val="24"/>
          <w:lang w:val="en-US"/>
        </w:rPr>
        <w:t>an organism’s</w:t>
      </w:r>
      <w:r w:rsidR="00965C78" w:rsidRPr="00965C78">
        <w:rPr>
          <w:rFonts w:ascii="Arial" w:hAnsi="Arial"/>
          <w:szCs w:val="24"/>
          <w:lang w:val="en-US"/>
        </w:rPr>
        <w:t xml:space="preserve"> physiological range of tolerance</w:t>
      </w:r>
      <w:r w:rsidR="00957F64">
        <w:rPr>
          <w:rFonts w:ascii="Arial" w:hAnsi="Arial"/>
          <w:szCs w:val="24"/>
          <w:lang w:val="en-US"/>
        </w:rPr>
        <w:t xml:space="preserve"> </w:t>
      </w:r>
      <w:r w:rsidR="00965C78" w:rsidRPr="00965C78">
        <w:rPr>
          <w:rFonts w:ascii="Arial" w:hAnsi="Arial"/>
          <w:szCs w:val="24"/>
          <w:lang w:val="en-US"/>
        </w:rPr>
        <w:t xml:space="preserve">to environmental factors </w:t>
      </w:r>
      <w:r w:rsidR="00965C78" w:rsidRPr="004D3A80">
        <w:rPr>
          <w:rFonts w:ascii="Arial" w:hAnsi="Arial"/>
          <w:szCs w:val="24"/>
          <w:lang w:val="en-GB"/>
        </w:rPr>
        <w:t xml:space="preserve">where a species can survive </w:t>
      </w:r>
      <w:r w:rsidR="00965C78" w:rsidRPr="00965C78">
        <w:rPr>
          <w:rFonts w:ascii="Arial" w:hAnsi="Arial"/>
          <w:szCs w:val="24"/>
          <w:lang w:val="en-US"/>
        </w:rPr>
        <w:t>in the absence of biotic interactions</w:t>
      </w:r>
      <w:r w:rsidR="0087076F">
        <w:rPr>
          <w:rFonts w:ascii="Arial" w:hAnsi="Arial"/>
          <w:szCs w:val="24"/>
          <w:lang w:val="en-GB"/>
        </w:rPr>
        <w:t xml:space="preserve"> (Soberón &amp; Arroyo-Peña</w:t>
      </w:r>
      <w:r w:rsidR="0045351D">
        <w:rPr>
          <w:rFonts w:ascii="Arial" w:hAnsi="Arial"/>
          <w:szCs w:val="24"/>
          <w:lang w:val="en-GB"/>
        </w:rPr>
        <w:t>,</w:t>
      </w:r>
      <w:r w:rsidR="0087076F">
        <w:rPr>
          <w:rFonts w:ascii="Arial" w:hAnsi="Arial"/>
          <w:szCs w:val="24"/>
          <w:lang w:val="en-GB"/>
        </w:rPr>
        <w:t xml:space="preserve"> 2017)</w:t>
      </w:r>
      <w:r w:rsidR="00957F64">
        <w:rPr>
          <w:rFonts w:ascii="Arial" w:hAnsi="Arial"/>
          <w:szCs w:val="24"/>
          <w:lang w:val="en-GB"/>
        </w:rPr>
        <w:t>.</w:t>
      </w:r>
      <w:r w:rsidRPr="004D3A80">
        <w:rPr>
          <w:rFonts w:ascii="Arial" w:hAnsi="Arial"/>
          <w:szCs w:val="24"/>
          <w:lang w:val="en-GB"/>
        </w:rPr>
        <w:t xml:space="preserve"> </w:t>
      </w:r>
      <w:r w:rsidR="00FB682D">
        <w:rPr>
          <w:rFonts w:ascii="Arial" w:hAnsi="Arial"/>
          <w:szCs w:val="24"/>
          <w:lang w:val="en-GB"/>
        </w:rPr>
        <w:t xml:space="preserve"> </w:t>
      </w:r>
      <w:r w:rsidRPr="004D3A80">
        <w:rPr>
          <w:rFonts w:ascii="Arial" w:hAnsi="Arial"/>
          <w:szCs w:val="24"/>
          <w:lang w:val="en-GB"/>
        </w:rPr>
        <w:t>Hence, the physiological requirements of a species (i.e. optimum, minimum and maximum physiological tolerance limits) can be measured to delimit the dimen</w:t>
      </w:r>
      <w:r w:rsidR="00EB3252" w:rsidRPr="004D3A80">
        <w:rPr>
          <w:rFonts w:ascii="Arial" w:hAnsi="Arial"/>
          <w:szCs w:val="24"/>
          <w:lang w:val="en-GB"/>
        </w:rPr>
        <w:t>sions of its fundamental niche</w:t>
      </w:r>
      <w:r w:rsidRPr="004D3A80">
        <w:rPr>
          <w:rFonts w:ascii="Arial" w:hAnsi="Arial"/>
          <w:szCs w:val="24"/>
          <w:lang w:val="en-GB"/>
        </w:rPr>
        <w:t>.  In Figure 1, “d” depicts the fundamental niche; notice that it also refers to areas of the fundamental niche that are not currently ava</w:t>
      </w:r>
      <w:r w:rsidR="00D22F4E">
        <w:rPr>
          <w:rFonts w:ascii="Arial" w:hAnsi="Arial"/>
          <w:szCs w:val="24"/>
          <w:lang w:val="en-GB"/>
        </w:rPr>
        <w:t>ilable on the geographic space.</w:t>
      </w:r>
    </w:p>
    <w:p w:rsidR="0006193F" w:rsidRPr="004D3A80" w:rsidRDefault="0006193F" w:rsidP="0006193F">
      <w:pPr>
        <w:spacing w:after="0" w:line="360" w:lineRule="auto"/>
        <w:rPr>
          <w:rFonts w:ascii="Arial" w:hAnsi="Arial"/>
          <w:b/>
          <w:szCs w:val="24"/>
          <w:lang w:val="en-GB"/>
        </w:rPr>
      </w:pPr>
    </w:p>
    <w:p w:rsidR="0006193F" w:rsidRDefault="0006193F" w:rsidP="0006193F">
      <w:pPr>
        <w:spacing w:after="0" w:line="360" w:lineRule="auto"/>
        <w:rPr>
          <w:rFonts w:ascii="Arial" w:hAnsi="Arial"/>
          <w:szCs w:val="24"/>
          <w:lang w:val="en-GB"/>
        </w:rPr>
      </w:pPr>
      <w:r w:rsidRPr="004D3A80">
        <w:rPr>
          <w:rFonts w:ascii="Arial" w:hAnsi="Arial"/>
          <w:b/>
          <w:szCs w:val="24"/>
          <w:lang w:val="en-GB"/>
        </w:rPr>
        <w:t>Native range</w:t>
      </w:r>
      <w:r w:rsidRPr="004D3A80">
        <w:rPr>
          <w:rFonts w:ascii="Arial" w:hAnsi="Arial"/>
          <w:szCs w:val="24"/>
          <w:lang w:val="en-GB"/>
        </w:rPr>
        <w:t xml:space="preserve">: the complete geographic area where a species is naturally distributed (where an exotic species is native), </w:t>
      </w:r>
      <w:r w:rsidR="004D3A80" w:rsidRPr="004D3A80">
        <w:rPr>
          <w:rFonts w:ascii="Arial" w:hAnsi="Arial"/>
          <w:szCs w:val="24"/>
          <w:lang w:val="en-GB"/>
        </w:rPr>
        <w:t>whereas</w:t>
      </w:r>
      <w:r w:rsidRPr="004D3A80">
        <w:rPr>
          <w:rFonts w:ascii="Arial" w:hAnsi="Arial"/>
          <w:szCs w:val="24"/>
          <w:lang w:val="en-GB"/>
        </w:rPr>
        <w:t xml:space="preserve"> </w:t>
      </w:r>
      <w:r w:rsidRPr="004D3A80">
        <w:rPr>
          <w:rFonts w:ascii="Arial" w:hAnsi="Arial"/>
          <w:b/>
          <w:szCs w:val="24"/>
          <w:lang w:val="en-GB"/>
        </w:rPr>
        <w:t>Non-native range</w:t>
      </w:r>
      <w:r w:rsidRPr="004D3A80">
        <w:rPr>
          <w:rFonts w:ascii="Arial" w:hAnsi="Arial"/>
          <w:szCs w:val="24"/>
          <w:lang w:val="en-GB"/>
        </w:rPr>
        <w:t xml:space="preserve"> is the geographic area where an exotic (non-native) species is distributed outside its native range. </w:t>
      </w:r>
      <w:r w:rsidR="008A7342">
        <w:rPr>
          <w:rFonts w:ascii="Arial" w:hAnsi="Arial"/>
          <w:szCs w:val="24"/>
          <w:lang w:val="en-GB"/>
        </w:rPr>
        <w:t xml:space="preserve"> </w:t>
      </w:r>
      <w:r w:rsidR="009D05E4" w:rsidRPr="004D3A80">
        <w:rPr>
          <w:rFonts w:ascii="Arial" w:hAnsi="Arial"/>
          <w:szCs w:val="24"/>
          <w:lang w:val="en-GB"/>
        </w:rPr>
        <w:t>In Figure</w:t>
      </w:r>
      <w:r w:rsidRPr="004D3A80">
        <w:rPr>
          <w:rFonts w:ascii="Arial" w:hAnsi="Arial"/>
          <w:szCs w:val="24"/>
          <w:lang w:val="en-GB"/>
        </w:rPr>
        <w:t xml:space="preserve"> 1 “b” and “c” depict the environment available at the native and non-native ranges, respectively.</w:t>
      </w:r>
    </w:p>
    <w:p w:rsidR="004D3A80" w:rsidRPr="004D3A80" w:rsidRDefault="004D3A80" w:rsidP="0006193F">
      <w:pPr>
        <w:spacing w:after="0" w:line="360" w:lineRule="auto"/>
        <w:rPr>
          <w:rFonts w:ascii="Arial" w:hAnsi="Arial"/>
          <w:szCs w:val="24"/>
          <w:lang w:val="en-GB"/>
        </w:rPr>
      </w:pPr>
    </w:p>
    <w:p w:rsidR="0006193F" w:rsidRDefault="0006193F" w:rsidP="0006193F">
      <w:pPr>
        <w:spacing w:after="0" w:line="360" w:lineRule="auto"/>
        <w:rPr>
          <w:rFonts w:ascii="Arial" w:hAnsi="Arial"/>
          <w:szCs w:val="24"/>
          <w:lang w:val="en-GB"/>
        </w:rPr>
      </w:pPr>
      <w:r w:rsidRPr="004D3A80">
        <w:rPr>
          <w:rFonts w:ascii="Arial" w:hAnsi="Arial"/>
          <w:b/>
          <w:szCs w:val="24"/>
          <w:lang w:val="en-GB"/>
        </w:rPr>
        <w:t>Niche expansion</w:t>
      </w:r>
      <w:r w:rsidRPr="004D3A80">
        <w:rPr>
          <w:rFonts w:ascii="Arial" w:hAnsi="Arial"/>
          <w:szCs w:val="24"/>
          <w:lang w:val="en-GB"/>
        </w:rPr>
        <w:t>: proportion of the exotic niche that does not overlap with the native niche.</w:t>
      </w:r>
    </w:p>
    <w:p w:rsidR="004D3A80" w:rsidRPr="004D3A80" w:rsidRDefault="004D3A80" w:rsidP="0006193F">
      <w:pPr>
        <w:spacing w:after="0" w:line="360" w:lineRule="auto"/>
        <w:rPr>
          <w:rFonts w:ascii="Arial" w:hAnsi="Arial"/>
          <w:szCs w:val="24"/>
          <w:lang w:val="en-GB"/>
        </w:rPr>
      </w:pPr>
    </w:p>
    <w:p w:rsidR="0006193F" w:rsidRDefault="0006193F" w:rsidP="0006193F">
      <w:pPr>
        <w:spacing w:after="0" w:line="360" w:lineRule="auto"/>
        <w:rPr>
          <w:rFonts w:ascii="Arial" w:hAnsi="Arial"/>
          <w:szCs w:val="24"/>
          <w:lang w:val="en-GB"/>
        </w:rPr>
      </w:pPr>
      <w:r w:rsidRPr="004D3A80">
        <w:rPr>
          <w:rFonts w:ascii="Arial" w:hAnsi="Arial"/>
          <w:b/>
          <w:szCs w:val="24"/>
          <w:lang w:val="en-GB"/>
        </w:rPr>
        <w:t>Niche overlap</w:t>
      </w:r>
      <w:r w:rsidRPr="004D3A80">
        <w:rPr>
          <w:rFonts w:ascii="Arial" w:hAnsi="Arial"/>
          <w:szCs w:val="24"/>
          <w:lang w:val="en-GB"/>
        </w:rPr>
        <w:t xml:space="preserve">: the intersection of two niches in the </w:t>
      </w:r>
      <w:r w:rsidRPr="004D3A80">
        <w:rPr>
          <w:rFonts w:ascii="Arial" w:hAnsi="Arial"/>
          <w:i/>
          <w:szCs w:val="24"/>
          <w:lang w:val="en-GB"/>
        </w:rPr>
        <w:t>n</w:t>
      </w:r>
      <w:r w:rsidRPr="004D3A80">
        <w:rPr>
          <w:rFonts w:ascii="Arial" w:hAnsi="Arial"/>
          <w:szCs w:val="24"/>
          <w:lang w:val="en-GB"/>
        </w:rPr>
        <w:t>-dimensional environmental space.</w:t>
      </w:r>
    </w:p>
    <w:p w:rsidR="004D3A80" w:rsidRPr="004D3A80" w:rsidRDefault="004D3A80" w:rsidP="0006193F">
      <w:pPr>
        <w:spacing w:after="0" w:line="360" w:lineRule="auto"/>
        <w:rPr>
          <w:rFonts w:ascii="Arial" w:hAnsi="Arial"/>
          <w:szCs w:val="24"/>
          <w:lang w:val="en-GB"/>
        </w:rPr>
      </w:pPr>
    </w:p>
    <w:p w:rsidR="0006193F" w:rsidRDefault="0006193F" w:rsidP="0006193F">
      <w:pPr>
        <w:spacing w:after="0" w:line="360" w:lineRule="auto"/>
        <w:rPr>
          <w:rFonts w:ascii="Arial" w:hAnsi="Arial"/>
          <w:szCs w:val="24"/>
          <w:lang w:val="en-GB"/>
        </w:rPr>
      </w:pPr>
      <w:r w:rsidRPr="004D3A80">
        <w:rPr>
          <w:rFonts w:ascii="Arial" w:hAnsi="Arial"/>
          <w:b/>
          <w:szCs w:val="24"/>
          <w:lang w:val="en-GB"/>
        </w:rPr>
        <w:t>Niche shift</w:t>
      </w:r>
      <w:r w:rsidRPr="004D3A80">
        <w:rPr>
          <w:rFonts w:ascii="Arial" w:hAnsi="Arial"/>
          <w:szCs w:val="24"/>
          <w:lang w:val="en-GB"/>
        </w:rPr>
        <w:t>: a change in the limits of the niche envelope in environmental space.</w:t>
      </w:r>
    </w:p>
    <w:p w:rsidR="004D3A80" w:rsidRPr="004D3A80" w:rsidRDefault="004D3A80" w:rsidP="0006193F">
      <w:pPr>
        <w:spacing w:after="0" w:line="360" w:lineRule="auto"/>
        <w:rPr>
          <w:rFonts w:ascii="Arial" w:hAnsi="Arial"/>
          <w:szCs w:val="24"/>
          <w:lang w:val="en-GB"/>
        </w:rPr>
      </w:pPr>
    </w:p>
    <w:p w:rsidR="0006193F" w:rsidRDefault="0006193F" w:rsidP="0006193F">
      <w:pPr>
        <w:spacing w:after="0" w:line="360" w:lineRule="auto"/>
        <w:rPr>
          <w:rFonts w:ascii="Arial" w:hAnsi="Arial"/>
          <w:szCs w:val="24"/>
          <w:lang w:val="en-GB"/>
        </w:rPr>
      </w:pPr>
      <w:r w:rsidRPr="004D3A80">
        <w:rPr>
          <w:rFonts w:ascii="Arial" w:hAnsi="Arial"/>
          <w:b/>
          <w:szCs w:val="24"/>
          <w:lang w:val="en-GB"/>
        </w:rPr>
        <w:t>Niche stability</w:t>
      </w:r>
      <w:r w:rsidRPr="004D3A80">
        <w:rPr>
          <w:rFonts w:ascii="Arial" w:hAnsi="Arial"/>
          <w:szCs w:val="24"/>
          <w:lang w:val="en-GB"/>
        </w:rPr>
        <w:t xml:space="preserve">: proportion of the </w:t>
      </w:r>
      <w:r w:rsidR="004D3A80">
        <w:rPr>
          <w:rFonts w:ascii="Arial" w:hAnsi="Arial"/>
          <w:szCs w:val="24"/>
          <w:lang w:val="en-GB"/>
        </w:rPr>
        <w:t>non-native</w:t>
      </w:r>
      <w:r w:rsidRPr="004D3A80">
        <w:rPr>
          <w:rFonts w:ascii="Arial" w:hAnsi="Arial"/>
          <w:szCs w:val="24"/>
          <w:lang w:val="en-GB"/>
        </w:rPr>
        <w:t xml:space="preserve"> niche overlapping with the native niche.</w:t>
      </w:r>
    </w:p>
    <w:p w:rsidR="004D3A80" w:rsidRPr="004D3A80" w:rsidRDefault="004D3A80" w:rsidP="0006193F">
      <w:pPr>
        <w:spacing w:after="0" w:line="360" w:lineRule="auto"/>
        <w:rPr>
          <w:rFonts w:ascii="Arial" w:hAnsi="Arial"/>
          <w:szCs w:val="24"/>
          <w:lang w:val="en-GB"/>
        </w:rPr>
      </w:pPr>
    </w:p>
    <w:p w:rsidR="0006193F" w:rsidRDefault="0006193F" w:rsidP="0006193F">
      <w:pPr>
        <w:spacing w:after="0" w:line="360" w:lineRule="auto"/>
        <w:rPr>
          <w:rFonts w:ascii="Arial" w:hAnsi="Arial"/>
          <w:szCs w:val="24"/>
          <w:lang w:val="en-GB"/>
        </w:rPr>
      </w:pPr>
      <w:r w:rsidRPr="004D3A80">
        <w:rPr>
          <w:rFonts w:ascii="Arial" w:hAnsi="Arial"/>
          <w:b/>
          <w:szCs w:val="24"/>
          <w:lang w:val="en-GB"/>
        </w:rPr>
        <w:t>Niche unfilling</w:t>
      </w:r>
      <w:r w:rsidRPr="004D3A80">
        <w:rPr>
          <w:rFonts w:ascii="Arial" w:hAnsi="Arial"/>
          <w:szCs w:val="24"/>
          <w:lang w:val="en-GB"/>
        </w:rPr>
        <w:t xml:space="preserve">: proportion of the native niche that does not overlap with the </w:t>
      </w:r>
      <w:r w:rsidR="004D3A80">
        <w:rPr>
          <w:rFonts w:ascii="Arial" w:hAnsi="Arial"/>
          <w:szCs w:val="24"/>
          <w:lang w:val="en-GB"/>
        </w:rPr>
        <w:t>non-native</w:t>
      </w:r>
      <w:r w:rsidR="004D3A80" w:rsidRPr="004D3A80">
        <w:rPr>
          <w:rFonts w:ascii="Arial" w:hAnsi="Arial"/>
          <w:szCs w:val="24"/>
          <w:lang w:val="en-GB"/>
        </w:rPr>
        <w:t xml:space="preserve"> </w:t>
      </w:r>
      <w:r w:rsidRPr="004D3A80">
        <w:rPr>
          <w:rFonts w:ascii="Arial" w:hAnsi="Arial"/>
          <w:szCs w:val="24"/>
          <w:lang w:val="en-GB"/>
        </w:rPr>
        <w:t>niche.</w:t>
      </w:r>
    </w:p>
    <w:p w:rsidR="004D3A80" w:rsidRPr="004D3A80" w:rsidRDefault="004D3A80" w:rsidP="0006193F">
      <w:pPr>
        <w:spacing w:after="0" w:line="360" w:lineRule="auto"/>
        <w:rPr>
          <w:rFonts w:ascii="Arial" w:hAnsi="Arial"/>
          <w:szCs w:val="24"/>
          <w:lang w:val="en-GB"/>
        </w:rPr>
      </w:pPr>
    </w:p>
    <w:p w:rsidR="0006193F" w:rsidRPr="004D3A80" w:rsidRDefault="0006193F" w:rsidP="0006193F">
      <w:pPr>
        <w:spacing w:after="0" w:line="360" w:lineRule="auto"/>
        <w:rPr>
          <w:rFonts w:ascii="Arial" w:hAnsi="Arial"/>
          <w:szCs w:val="24"/>
          <w:lang w:val="en-GB"/>
        </w:rPr>
      </w:pPr>
      <w:r w:rsidRPr="004D3A80">
        <w:rPr>
          <w:rFonts w:ascii="Arial" w:hAnsi="Arial"/>
          <w:b/>
          <w:szCs w:val="24"/>
          <w:lang w:val="en-GB"/>
        </w:rPr>
        <w:t>Potential native distribution</w:t>
      </w:r>
      <w:r w:rsidRPr="004D3A80">
        <w:rPr>
          <w:rFonts w:ascii="Arial" w:hAnsi="Arial"/>
          <w:szCs w:val="24"/>
          <w:lang w:val="en-GB"/>
        </w:rPr>
        <w:t>: suitable areas inside the native geographic range (occupied or not); also referred to as “potential native range”.</w:t>
      </w:r>
    </w:p>
    <w:p w:rsidR="0006193F" w:rsidRPr="004D3A80" w:rsidRDefault="0006193F" w:rsidP="0006193F">
      <w:pPr>
        <w:spacing w:after="0" w:line="360" w:lineRule="auto"/>
        <w:rPr>
          <w:rFonts w:ascii="Arial" w:hAnsi="Arial"/>
          <w:b/>
          <w:szCs w:val="24"/>
          <w:lang w:val="en-GB"/>
        </w:rPr>
      </w:pPr>
    </w:p>
    <w:p w:rsidR="0006193F" w:rsidRPr="004D3A80" w:rsidRDefault="0006193F" w:rsidP="0006193F">
      <w:pPr>
        <w:spacing w:after="0" w:line="360" w:lineRule="auto"/>
        <w:rPr>
          <w:rFonts w:ascii="Arial" w:hAnsi="Arial"/>
          <w:szCs w:val="24"/>
          <w:lang w:val="en-GB"/>
        </w:rPr>
      </w:pPr>
      <w:r w:rsidRPr="004D3A80">
        <w:rPr>
          <w:rFonts w:ascii="Arial" w:hAnsi="Arial"/>
          <w:b/>
          <w:szCs w:val="24"/>
          <w:lang w:val="en-GB"/>
        </w:rPr>
        <w:t>Potential non-native distribution</w:t>
      </w:r>
      <w:r w:rsidRPr="004D3A80">
        <w:rPr>
          <w:rFonts w:ascii="Arial" w:hAnsi="Arial"/>
          <w:szCs w:val="24"/>
          <w:lang w:val="en-GB"/>
        </w:rPr>
        <w:t>: suitable areas outside the native geographic range (occupied or not); also referred to as “potential non-native range”.</w:t>
      </w:r>
    </w:p>
    <w:p w:rsidR="0006193F" w:rsidRPr="004D3A80" w:rsidRDefault="0006193F" w:rsidP="0006193F">
      <w:pPr>
        <w:spacing w:after="0" w:line="360" w:lineRule="auto"/>
        <w:rPr>
          <w:rFonts w:ascii="Arial" w:hAnsi="Arial"/>
          <w:szCs w:val="24"/>
          <w:lang w:val="en-GB"/>
        </w:rPr>
      </w:pPr>
    </w:p>
    <w:p w:rsidR="0006193F" w:rsidRPr="004D3A80" w:rsidRDefault="0006193F" w:rsidP="00F0445F">
      <w:pPr>
        <w:spacing w:after="0" w:line="360" w:lineRule="auto"/>
        <w:rPr>
          <w:rFonts w:ascii="Arial" w:hAnsi="Arial"/>
          <w:szCs w:val="24"/>
          <w:lang w:val="en-GB"/>
        </w:rPr>
      </w:pPr>
      <w:r w:rsidRPr="004D3A80">
        <w:rPr>
          <w:rFonts w:ascii="Arial" w:hAnsi="Arial"/>
          <w:b/>
          <w:szCs w:val="24"/>
          <w:lang w:val="en-GB"/>
        </w:rPr>
        <w:t>Realized niche</w:t>
      </w:r>
      <w:r w:rsidRPr="004D3A80">
        <w:rPr>
          <w:rFonts w:ascii="Arial" w:hAnsi="Arial"/>
          <w:szCs w:val="24"/>
          <w:lang w:val="en-GB"/>
        </w:rPr>
        <w:t xml:space="preserve">: </w:t>
      </w:r>
      <w:r w:rsidR="004D3A80">
        <w:rPr>
          <w:rFonts w:ascii="Arial" w:hAnsi="Arial"/>
          <w:szCs w:val="24"/>
          <w:lang w:val="en-GB"/>
        </w:rPr>
        <w:t>i</w:t>
      </w:r>
      <w:r w:rsidR="004D3A80" w:rsidRPr="004D3A80">
        <w:rPr>
          <w:rFonts w:ascii="Arial" w:hAnsi="Arial"/>
          <w:szCs w:val="24"/>
          <w:lang w:val="en-GB"/>
        </w:rPr>
        <w:t>t is the actual area occupied by a species (quantified from field observations and occurrence records); also referred to as “ecological niche”</w:t>
      </w:r>
      <w:r w:rsidR="004D3A80">
        <w:rPr>
          <w:rFonts w:ascii="Arial" w:hAnsi="Arial"/>
          <w:szCs w:val="24"/>
          <w:lang w:val="en-GB"/>
        </w:rPr>
        <w:t xml:space="preserve">; </w:t>
      </w:r>
      <w:bookmarkStart w:id="0" w:name="_GoBack"/>
      <w:bookmarkEnd w:id="0"/>
      <w:r w:rsidRPr="004D3A80">
        <w:rPr>
          <w:rFonts w:ascii="Arial" w:hAnsi="Arial"/>
          <w:szCs w:val="24"/>
          <w:lang w:val="en-GB"/>
        </w:rPr>
        <w:t>usually a more restricted region of the environmental (abiotic) conditions obtained after accounting for biotic interactions, populations dyna</w:t>
      </w:r>
      <w:r w:rsidR="00EB3252" w:rsidRPr="004D3A80">
        <w:rPr>
          <w:rFonts w:ascii="Arial" w:hAnsi="Arial"/>
          <w:szCs w:val="24"/>
          <w:lang w:val="en-GB"/>
        </w:rPr>
        <w:t>mics and dispersal limitations</w:t>
      </w:r>
      <w:r w:rsidRPr="004D3A80">
        <w:rPr>
          <w:rFonts w:ascii="Arial" w:hAnsi="Arial"/>
          <w:szCs w:val="24"/>
          <w:lang w:val="en-GB"/>
        </w:rPr>
        <w:t xml:space="preserve">.  </w:t>
      </w:r>
      <w:r w:rsidR="00F0445F">
        <w:rPr>
          <w:rFonts w:ascii="Arial" w:hAnsi="Arial"/>
          <w:szCs w:val="24"/>
          <w:lang w:val="en-GB"/>
        </w:rPr>
        <w:t xml:space="preserve">It </w:t>
      </w:r>
      <w:r w:rsidR="00F0445F" w:rsidRPr="00F0445F">
        <w:rPr>
          <w:rFonts w:ascii="Arial" w:hAnsi="Arial"/>
          <w:szCs w:val="24"/>
          <w:lang w:val="en-US"/>
        </w:rPr>
        <w:t>comprises</w:t>
      </w:r>
      <w:r w:rsidR="00F0445F">
        <w:rPr>
          <w:rFonts w:ascii="Arial" w:hAnsi="Arial"/>
          <w:szCs w:val="24"/>
          <w:lang w:val="en-US"/>
        </w:rPr>
        <w:t xml:space="preserve"> </w:t>
      </w:r>
      <w:r w:rsidR="00F0445F" w:rsidRPr="00F0445F">
        <w:rPr>
          <w:rFonts w:ascii="Arial" w:hAnsi="Arial"/>
          <w:szCs w:val="24"/>
          <w:lang w:val="en-US"/>
        </w:rPr>
        <w:t>a s</w:t>
      </w:r>
      <w:r w:rsidR="00F0445F">
        <w:rPr>
          <w:rFonts w:ascii="Arial" w:hAnsi="Arial"/>
          <w:szCs w:val="24"/>
          <w:lang w:val="en-US"/>
        </w:rPr>
        <w:t xml:space="preserve">ubset of the fundamental niche, which is </w:t>
      </w:r>
      <w:r w:rsidR="00F0445F" w:rsidRPr="00F0445F">
        <w:rPr>
          <w:rFonts w:ascii="Arial" w:hAnsi="Arial"/>
          <w:szCs w:val="24"/>
          <w:lang w:val="en-US"/>
        </w:rPr>
        <w:t>constrained by biotic</w:t>
      </w:r>
      <w:r w:rsidR="00F0445F">
        <w:rPr>
          <w:rFonts w:ascii="Arial" w:hAnsi="Arial"/>
          <w:szCs w:val="24"/>
          <w:lang w:val="en-US"/>
        </w:rPr>
        <w:t xml:space="preserve"> </w:t>
      </w:r>
      <w:r w:rsidR="00F0445F" w:rsidRPr="00F0445F">
        <w:rPr>
          <w:rFonts w:ascii="Arial" w:hAnsi="Arial"/>
          <w:szCs w:val="24"/>
          <w:lang w:val="en-US"/>
        </w:rPr>
        <w:t>factors</w:t>
      </w:r>
      <w:r w:rsidR="00F0445F">
        <w:rPr>
          <w:rFonts w:ascii="Arial" w:hAnsi="Arial"/>
          <w:szCs w:val="24"/>
          <w:lang w:val="en-US"/>
        </w:rPr>
        <w:t xml:space="preserve"> and</w:t>
      </w:r>
      <w:r w:rsidR="00F0445F" w:rsidRPr="00F0445F">
        <w:rPr>
          <w:rFonts w:ascii="Arial" w:hAnsi="Arial"/>
          <w:szCs w:val="24"/>
          <w:lang w:val="en-US"/>
        </w:rPr>
        <w:t xml:space="preserve"> may prevent individuals of</w:t>
      </w:r>
      <w:r w:rsidR="00F0445F">
        <w:rPr>
          <w:rFonts w:ascii="Arial" w:hAnsi="Arial"/>
          <w:szCs w:val="24"/>
          <w:lang w:val="en-US"/>
        </w:rPr>
        <w:t xml:space="preserve"> </w:t>
      </w:r>
      <w:r w:rsidR="00F0445F" w:rsidRPr="00F0445F">
        <w:rPr>
          <w:rFonts w:ascii="Arial" w:hAnsi="Arial"/>
          <w:szCs w:val="24"/>
          <w:lang w:val="en-US"/>
        </w:rPr>
        <w:t>a species from occupying part of its fundamental</w:t>
      </w:r>
      <w:r w:rsidR="00F0445F">
        <w:rPr>
          <w:rFonts w:ascii="Arial" w:hAnsi="Arial"/>
          <w:szCs w:val="24"/>
          <w:lang w:val="en-US"/>
        </w:rPr>
        <w:t xml:space="preserve"> </w:t>
      </w:r>
      <w:r w:rsidR="00F0445F" w:rsidRPr="00F0445F">
        <w:rPr>
          <w:rFonts w:ascii="Arial" w:hAnsi="Arial"/>
          <w:szCs w:val="24"/>
          <w:lang w:val="en-US"/>
        </w:rPr>
        <w:t>niche</w:t>
      </w:r>
      <w:r w:rsidR="00F0445F">
        <w:rPr>
          <w:rFonts w:ascii="Arial" w:hAnsi="Arial"/>
          <w:szCs w:val="24"/>
          <w:lang w:val="en-US"/>
        </w:rPr>
        <w:t xml:space="preserve">. </w:t>
      </w:r>
      <w:r w:rsidR="00F0445F" w:rsidRPr="00F0445F">
        <w:rPr>
          <w:rFonts w:ascii="Arial" w:hAnsi="Arial"/>
          <w:szCs w:val="24"/>
          <w:lang w:val="en-GB"/>
        </w:rPr>
        <w:t xml:space="preserve"> </w:t>
      </w:r>
      <w:r w:rsidRPr="004D3A80">
        <w:rPr>
          <w:rFonts w:ascii="Arial" w:hAnsi="Arial"/>
          <w:szCs w:val="24"/>
          <w:lang w:val="en-GB"/>
        </w:rPr>
        <w:t>Th</w:t>
      </w:r>
      <w:r w:rsidR="009D05E4" w:rsidRPr="004D3A80">
        <w:rPr>
          <w:rFonts w:ascii="Arial" w:hAnsi="Arial"/>
          <w:szCs w:val="24"/>
          <w:lang w:val="en-GB"/>
        </w:rPr>
        <w:t xml:space="preserve">e geographic projection of the </w:t>
      </w:r>
      <w:r w:rsidRPr="004D3A80">
        <w:rPr>
          <w:rFonts w:ascii="Arial" w:hAnsi="Arial"/>
          <w:szCs w:val="24"/>
          <w:lang w:val="en-GB"/>
        </w:rPr>
        <w:t xml:space="preserve">realized </w:t>
      </w:r>
      <w:r w:rsidR="009D05E4" w:rsidRPr="004D3A80">
        <w:rPr>
          <w:rFonts w:ascii="Arial" w:hAnsi="Arial"/>
          <w:szCs w:val="24"/>
          <w:lang w:val="en-GB"/>
        </w:rPr>
        <w:t>niche</w:t>
      </w:r>
      <w:r w:rsidRPr="004D3A80">
        <w:rPr>
          <w:rFonts w:ascii="Arial" w:hAnsi="Arial"/>
          <w:szCs w:val="24"/>
          <w:lang w:val="en-GB"/>
        </w:rPr>
        <w:t xml:space="preserve"> is based on the correlation between occurrence records and bioclimatic variables.  In Figure 1, “e” and “f” depict the realized (occupied) niche at the native and non-native ranges, respectively.</w:t>
      </w:r>
    </w:p>
    <w:p w:rsidR="00EB3252" w:rsidRPr="004D3A80" w:rsidRDefault="00EB3252" w:rsidP="0006193F">
      <w:pPr>
        <w:spacing w:after="0" w:line="360" w:lineRule="auto"/>
        <w:rPr>
          <w:rFonts w:ascii="Arial" w:hAnsi="Arial"/>
          <w:szCs w:val="24"/>
          <w:lang w:val="en-GB"/>
        </w:rPr>
      </w:pPr>
    </w:p>
    <w:p w:rsidR="00F45AA9" w:rsidRPr="00F45AA9" w:rsidRDefault="00F45AA9" w:rsidP="00F45AA9">
      <w:pPr>
        <w:spacing w:after="0" w:line="360" w:lineRule="auto"/>
        <w:ind w:left="426" w:hanging="426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Hutchinson, G.</w:t>
      </w:r>
      <w:r w:rsidRPr="00F45AA9">
        <w:rPr>
          <w:rFonts w:ascii="Arial" w:hAnsi="Arial" w:cs="Arial"/>
          <w:szCs w:val="24"/>
          <w:lang w:val="en-US"/>
        </w:rPr>
        <w:t xml:space="preserve">E. </w:t>
      </w:r>
      <w:r>
        <w:rPr>
          <w:rFonts w:ascii="Arial" w:hAnsi="Arial" w:cs="Arial"/>
          <w:szCs w:val="24"/>
          <w:lang w:val="en-US"/>
        </w:rPr>
        <w:t>(</w:t>
      </w:r>
      <w:r w:rsidRPr="00F45AA9">
        <w:rPr>
          <w:rFonts w:ascii="Arial" w:hAnsi="Arial" w:cs="Arial"/>
          <w:szCs w:val="24"/>
          <w:lang w:val="en-US"/>
        </w:rPr>
        <w:t>195</w:t>
      </w:r>
      <w:r w:rsidR="0045351D">
        <w:rPr>
          <w:rFonts w:ascii="Arial" w:hAnsi="Arial" w:cs="Arial"/>
          <w:szCs w:val="24"/>
          <w:lang w:val="en-US"/>
        </w:rPr>
        <w:t>7</w:t>
      </w:r>
      <w:r>
        <w:rPr>
          <w:rFonts w:ascii="Arial" w:hAnsi="Arial" w:cs="Arial"/>
          <w:szCs w:val="24"/>
          <w:lang w:val="en-US"/>
        </w:rPr>
        <w:t>)</w:t>
      </w:r>
      <w:r w:rsidRPr="00F45AA9">
        <w:rPr>
          <w:rFonts w:ascii="Arial" w:hAnsi="Arial" w:cs="Arial"/>
          <w:szCs w:val="24"/>
          <w:lang w:val="en-US"/>
        </w:rPr>
        <w:t xml:space="preserve">. Concluding remarks. </w:t>
      </w:r>
      <w:proofErr w:type="gramStart"/>
      <w:r w:rsidRPr="00F45AA9">
        <w:rPr>
          <w:rFonts w:ascii="Arial" w:hAnsi="Arial" w:cs="Arial"/>
          <w:szCs w:val="24"/>
          <w:lang w:val="en-US"/>
        </w:rPr>
        <w:t>Cold Spring Harbor</w:t>
      </w:r>
      <w:r>
        <w:rPr>
          <w:rFonts w:ascii="Arial" w:hAnsi="Arial" w:cs="Arial"/>
          <w:szCs w:val="24"/>
          <w:lang w:val="en-US"/>
        </w:rPr>
        <w:t xml:space="preserve"> </w:t>
      </w:r>
      <w:r w:rsidRPr="00F45AA9">
        <w:rPr>
          <w:rFonts w:ascii="Arial" w:hAnsi="Arial" w:cs="Arial"/>
          <w:szCs w:val="24"/>
          <w:lang w:val="en-US"/>
        </w:rPr>
        <w:t>Symposia on Quantitative Biology</w:t>
      </w:r>
      <w:r>
        <w:rPr>
          <w:rFonts w:ascii="Arial" w:hAnsi="Arial" w:cs="Arial"/>
          <w:szCs w:val="24"/>
          <w:lang w:val="en-US"/>
        </w:rPr>
        <w:t>,</w:t>
      </w:r>
      <w:r w:rsidRPr="00F45AA9">
        <w:rPr>
          <w:rFonts w:ascii="Arial" w:hAnsi="Arial" w:cs="Arial"/>
          <w:szCs w:val="24"/>
          <w:lang w:val="en-US"/>
        </w:rPr>
        <w:t xml:space="preserve"> 22</w:t>
      </w:r>
      <w:r>
        <w:rPr>
          <w:rFonts w:ascii="Arial" w:hAnsi="Arial" w:cs="Arial"/>
          <w:szCs w:val="24"/>
          <w:lang w:val="en-US"/>
        </w:rPr>
        <w:t xml:space="preserve">, </w:t>
      </w:r>
      <w:r w:rsidRPr="00F45AA9">
        <w:rPr>
          <w:rFonts w:ascii="Arial" w:hAnsi="Arial" w:cs="Arial"/>
          <w:szCs w:val="24"/>
          <w:lang w:val="en-US"/>
        </w:rPr>
        <w:t>425</w:t>
      </w:r>
      <w:r>
        <w:rPr>
          <w:rFonts w:ascii="Arial" w:hAnsi="Arial" w:cs="Arial"/>
          <w:szCs w:val="24"/>
          <w:lang w:val="en-US"/>
        </w:rPr>
        <w:t>-</w:t>
      </w:r>
      <w:r w:rsidRPr="00F45AA9">
        <w:rPr>
          <w:rFonts w:ascii="Arial" w:hAnsi="Arial" w:cs="Arial"/>
          <w:szCs w:val="24"/>
          <w:lang w:val="en-US"/>
        </w:rPr>
        <w:t>427.</w:t>
      </w:r>
      <w:proofErr w:type="gramEnd"/>
    </w:p>
    <w:p w:rsidR="00F45AA9" w:rsidRDefault="00F45AA9" w:rsidP="00F45AA9">
      <w:pPr>
        <w:spacing w:after="0" w:line="360" w:lineRule="auto"/>
        <w:ind w:left="426" w:hanging="426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US"/>
        </w:rPr>
        <w:t>Hutchinson, G.</w:t>
      </w:r>
      <w:r w:rsidRPr="00F45AA9">
        <w:rPr>
          <w:rFonts w:ascii="Arial" w:hAnsi="Arial" w:cs="Arial"/>
          <w:szCs w:val="24"/>
          <w:lang w:val="en-US"/>
        </w:rPr>
        <w:t xml:space="preserve">E. </w:t>
      </w:r>
      <w:r>
        <w:rPr>
          <w:rFonts w:ascii="Arial" w:hAnsi="Arial" w:cs="Arial"/>
          <w:szCs w:val="24"/>
          <w:lang w:val="en-US"/>
        </w:rPr>
        <w:t>(</w:t>
      </w:r>
      <w:r w:rsidRPr="00F45AA9">
        <w:rPr>
          <w:rFonts w:ascii="Arial" w:hAnsi="Arial" w:cs="Arial"/>
          <w:szCs w:val="24"/>
          <w:lang w:val="en-US"/>
        </w:rPr>
        <w:t>1978</w:t>
      </w:r>
      <w:r>
        <w:rPr>
          <w:rFonts w:ascii="Arial" w:hAnsi="Arial" w:cs="Arial"/>
          <w:szCs w:val="24"/>
          <w:lang w:val="en-US"/>
        </w:rPr>
        <w:t>)</w:t>
      </w:r>
      <w:r w:rsidRPr="00F45AA9">
        <w:rPr>
          <w:rFonts w:ascii="Arial" w:hAnsi="Arial" w:cs="Arial"/>
          <w:szCs w:val="24"/>
          <w:lang w:val="en-US"/>
        </w:rPr>
        <w:t>. An introduction to population ecology. Yale University</w:t>
      </w:r>
      <w:r>
        <w:rPr>
          <w:rFonts w:ascii="Arial" w:hAnsi="Arial" w:cs="Arial"/>
          <w:szCs w:val="24"/>
          <w:lang w:val="en-US"/>
        </w:rPr>
        <w:t xml:space="preserve"> Press, New Haven</w:t>
      </w:r>
      <w:r w:rsidRPr="00F45AA9">
        <w:rPr>
          <w:rFonts w:ascii="Arial" w:hAnsi="Arial" w:cs="Arial"/>
          <w:szCs w:val="24"/>
          <w:lang w:val="en-US"/>
        </w:rPr>
        <w:t>.</w:t>
      </w:r>
    </w:p>
    <w:p w:rsidR="00E16550" w:rsidRPr="00416028" w:rsidRDefault="00E16550" w:rsidP="00E16550">
      <w:pPr>
        <w:spacing w:after="0" w:line="360" w:lineRule="auto"/>
        <w:ind w:left="426" w:hanging="426"/>
        <w:rPr>
          <w:rFonts w:ascii="Helvetica" w:hAnsi="Helvetica" w:cs="Helvetica"/>
          <w:color w:val="000000" w:themeColor="text1"/>
          <w:lang w:val="en-GB"/>
        </w:rPr>
      </w:pPr>
      <w:r w:rsidRPr="00416028">
        <w:rPr>
          <w:rFonts w:ascii="Helvetica" w:hAnsi="Helvetica" w:cs="Helvetica"/>
          <w:color w:val="000000" w:themeColor="text1"/>
          <w:lang w:val="en-GB"/>
        </w:rPr>
        <w:t xml:space="preserve">Jackson, S.T., &amp; Overpeck, J.T. (2000). </w:t>
      </w:r>
      <w:proofErr w:type="gramStart"/>
      <w:r w:rsidRPr="00416028">
        <w:rPr>
          <w:rFonts w:ascii="Helvetica" w:hAnsi="Helvetica" w:cs="Helvetica"/>
          <w:color w:val="000000" w:themeColor="text1"/>
          <w:lang w:val="en-GB"/>
        </w:rPr>
        <w:t>Responses of plant populations and communities to environmental changes of the late Quaternary.</w:t>
      </w:r>
      <w:proofErr w:type="gramEnd"/>
      <w:r w:rsidRPr="00416028">
        <w:rPr>
          <w:rFonts w:ascii="Helvetica" w:hAnsi="Helvetica" w:cs="Helvetica"/>
          <w:color w:val="000000" w:themeColor="text1"/>
          <w:lang w:val="en-GB"/>
        </w:rPr>
        <w:t xml:space="preserve"> </w:t>
      </w:r>
      <w:proofErr w:type="gramStart"/>
      <w:r w:rsidRPr="00416028">
        <w:rPr>
          <w:rFonts w:ascii="Helvetica" w:hAnsi="Helvetica" w:cs="Helvetica"/>
          <w:i/>
          <w:iCs/>
          <w:color w:val="000000" w:themeColor="text1"/>
          <w:lang w:val="en-GB"/>
        </w:rPr>
        <w:t>Paleobiology</w:t>
      </w:r>
      <w:r w:rsidRPr="00416028">
        <w:rPr>
          <w:rFonts w:ascii="Helvetica" w:hAnsi="Helvetica" w:cs="Helvetica"/>
          <w:color w:val="000000" w:themeColor="text1"/>
          <w:lang w:val="en-GB"/>
        </w:rPr>
        <w:t xml:space="preserve">, </w:t>
      </w:r>
      <w:r w:rsidRPr="00416028">
        <w:rPr>
          <w:rFonts w:ascii="Helvetica" w:hAnsi="Helvetica" w:cs="Helvetica"/>
          <w:iCs/>
          <w:color w:val="000000" w:themeColor="text1"/>
          <w:lang w:val="en-GB"/>
        </w:rPr>
        <w:t>26</w:t>
      </w:r>
      <w:r w:rsidRPr="00416028">
        <w:rPr>
          <w:rFonts w:ascii="Helvetica" w:hAnsi="Helvetica" w:cs="Helvetica"/>
          <w:color w:val="000000" w:themeColor="text1"/>
          <w:lang w:val="en-GB"/>
        </w:rPr>
        <w:t>, 194-220.</w:t>
      </w:r>
      <w:proofErr w:type="gramEnd"/>
    </w:p>
    <w:p w:rsidR="0065371D" w:rsidRPr="004D3A80" w:rsidRDefault="0065371D" w:rsidP="00F45AA9">
      <w:pPr>
        <w:spacing w:after="0" w:line="360" w:lineRule="auto"/>
        <w:ind w:left="426" w:hanging="426"/>
        <w:rPr>
          <w:rFonts w:ascii="Arial" w:hAnsi="Arial" w:cs="Arial"/>
          <w:szCs w:val="24"/>
          <w:lang w:val="en-GB"/>
        </w:rPr>
      </w:pPr>
      <w:proofErr w:type="gramStart"/>
      <w:r w:rsidRPr="004D3A80">
        <w:rPr>
          <w:rFonts w:ascii="Arial" w:hAnsi="Arial" w:cs="Arial"/>
          <w:szCs w:val="24"/>
          <w:lang w:val="en-GB"/>
        </w:rPr>
        <w:t>Kearney, M., &amp; Porter, W. (2009).</w:t>
      </w:r>
      <w:proofErr w:type="gramEnd"/>
      <w:r w:rsidRPr="004D3A80">
        <w:rPr>
          <w:rFonts w:ascii="Arial" w:hAnsi="Arial" w:cs="Arial"/>
          <w:szCs w:val="24"/>
          <w:lang w:val="en-GB"/>
        </w:rPr>
        <w:t xml:space="preserve"> Mechanistic niche modelling: combining physiological and spatial data to predict species’ ranges. </w:t>
      </w:r>
      <w:proofErr w:type="gramStart"/>
      <w:r w:rsidRPr="004D3A80">
        <w:rPr>
          <w:rFonts w:ascii="Arial" w:hAnsi="Arial" w:cs="Arial"/>
          <w:i/>
          <w:szCs w:val="24"/>
          <w:lang w:val="en-GB"/>
        </w:rPr>
        <w:t>Ecology Letters</w:t>
      </w:r>
      <w:r w:rsidRPr="004D3A80">
        <w:rPr>
          <w:rFonts w:ascii="Arial" w:hAnsi="Arial" w:cs="Arial"/>
          <w:szCs w:val="24"/>
          <w:lang w:val="en-GB"/>
        </w:rPr>
        <w:t>, 12, 334-350.</w:t>
      </w:r>
      <w:proofErr w:type="gramEnd"/>
    </w:p>
    <w:p w:rsidR="00B4054A" w:rsidRPr="004D3A80" w:rsidRDefault="0065371D" w:rsidP="00B4054A">
      <w:pPr>
        <w:spacing w:after="0" w:line="360" w:lineRule="auto"/>
        <w:ind w:left="426" w:hanging="426"/>
        <w:rPr>
          <w:rFonts w:ascii="Arial" w:hAnsi="Arial" w:cs="Arial"/>
          <w:szCs w:val="24"/>
          <w:lang w:val="en-GB"/>
        </w:rPr>
      </w:pPr>
      <w:proofErr w:type="gramStart"/>
      <w:r w:rsidRPr="004D3A80">
        <w:rPr>
          <w:rFonts w:ascii="Arial" w:hAnsi="Arial" w:cs="Arial"/>
          <w:szCs w:val="24"/>
          <w:lang w:val="en-GB"/>
        </w:rPr>
        <w:t>Kearney, M., Phillips, B.L., Tracy, C.R., Christian, K.A., Betts, G., &amp; Porter, W.P. (2008).</w:t>
      </w:r>
      <w:proofErr w:type="gramEnd"/>
      <w:r w:rsidRPr="004D3A80">
        <w:rPr>
          <w:rFonts w:ascii="Arial" w:hAnsi="Arial" w:cs="Arial"/>
          <w:szCs w:val="24"/>
          <w:lang w:val="en-GB"/>
        </w:rPr>
        <w:t xml:space="preserve"> Modelling species distributions without using species distributions: the cane toad in Australia under current and future climates. </w:t>
      </w:r>
      <w:proofErr w:type="gramStart"/>
      <w:r w:rsidRPr="004D3A80">
        <w:rPr>
          <w:rFonts w:ascii="Arial" w:hAnsi="Arial" w:cs="Arial"/>
          <w:i/>
          <w:szCs w:val="24"/>
          <w:lang w:val="en-GB"/>
        </w:rPr>
        <w:t>Ecography</w:t>
      </w:r>
      <w:r w:rsidRPr="004D3A80">
        <w:rPr>
          <w:rFonts w:ascii="Arial" w:hAnsi="Arial" w:cs="Arial"/>
          <w:szCs w:val="24"/>
          <w:lang w:val="en-GB"/>
        </w:rPr>
        <w:t>, 31, 423-434.</w:t>
      </w:r>
      <w:proofErr w:type="gramEnd"/>
      <w:r w:rsidRPr="004D3A80">
        <w:rPr>
          <w:rFonts w:ascii="Arial" w:hAnsi="Arial" w:cs="Arial"/>
          <w:szCs w:val="24"/>
          <w:lang w:val="en-GB"/>
        </w:rPr>
        <w:t> </w:t>
      </w:r>
    </w:p>
    <w:p w:rsidR="00EB3252" w:rsidRPr="004D3A80" w:rsidRDefault="00A41DEE" w:rsidP="00B4054A">
      <w:pPr>
        <w:spacing w:after="0" w:line="360" w:lineRule="auto"/>
        <w:ind w:left="426" w:hanging="426"/>
        <w:rPr>
          <w:rFonts w:ascii="Arial" w:hAnsi="Arial" w:cs="Arial"/>
          <w:szCs w:val="24"/>
          <w:lang w:val="en-GB"/>
        </w:rPr>
      </w:pPr>
      <w:proofErr w:type="gramStart"/>
      <w:r w:rsidRPr="004D3A80">
        <w:rPr>
          <w:rFonts w:ascii="Arial" w:hAnsi="Arial"/>
          <w:szCs w:val="24"/>
          <w:lang w:val="en-GB"/>
        </w:rPr>
        <w:t xml:space="preserve">Peterson </w:t>
      </w:r>
      <w:r w:rsidR="00E408DE" w:rsidRPr="004D3A80">
        <w:rPr>
          <w:rFonts w:ascii="Arial" w:hAnsi="Arial"/>
          <w:szCs w:val="24"/>
          <w:lang w:val="en-GB"/>
        </w:rPr>
        <w:t>A.</w:t>
      </w:r>
      <w:r w:rsidRPr="004D3A80">
        <w:rPr>
          <w:rFonts w:ascii="Arial" w:hAnsi="Arial"/>
          <w:szCs w:val="24"/>
          <w:lang w:val="en-GB"/>
        </w:rPr>
        <w:t>T</w:t>
      </w:r>
      <w:r w:rsidR="00E408DE" w:rsidRPr="004D3A80">
        <w:rPr>
          <w:rFonts w:ascii="Arial" w:hAnsi="Arial"/>
          <w:szCs w:val="24"/>
          <w:lang w:val="en-GB"/>
        </w:rPr>
        <w:t xml:space="preserve">., </w:t>
      </w:r>
      <w:r w:rsidRPr="004D3A80">
        <w:rPr>
          <w:rFonts w:ascii="Arial" w:hAnsi="Arial"/>
          <w:szCs w:val="24"/>
          <w:lang w:val="en-GB"/>
        </w:rPr>
        <w:t>Soberón</w:t>
      </w:r>
      <w:r w:rsidR="00E408DE" w:rsidRPr="004D3A80">
        <w:rPr>
          <w:rFonts w:ascii="Arial" w:hAnsi="Arial"/>
          <w:szCs w:val="24"/>
          <w:lang w:val="en-GB"/>
        </w:rPr>
        <w:t>, J.</w:t>
      </w:r>
      <w:r w:rsidRPr="004D3A80">
        <w:rPr>
          <w:rFonts w:ascii="Arial" w:hAnsi="Arial"/>
          <w:szCs w:val="24"/>
          <w:lang w:val="en-GB"/>
        </w:rPr>
        <w:t xml:space="preserve">, Pearson, </w:t>
      </w:r>
      <w:r w:rsidR="00E408DE" w:rsidRPr="004D3A80">
        <w:rPr>
          <w:rFonts w:ascii="Arial" w:hAnsi="Arial"/>
          <w:szCs w:val="24"/>
          <w:lang w:val="en-GB"/>
        </w:rPr>
        <w:t xml:space="preserve">R.G., </w:t>
      </w:r>
      <w:r w:rsidRPr="004D3A80">
        <w:rPr>
          <w:rFonts w:ascii="Arial" w:hAnsi="Arial"/>
          <w:szCs w:val="24"/>
          <w:lang w:val="en-GB"/>
        </w:rPr>
        <w:t>Anderson</w:t>
      </w:r>
      <w:r w:rsidR="00E408DE" w:rsidRPr="004D3A80">
        <w:rPr>
          <w:rFonts w:ascii="Arial" w:hAnsi="Arial"/>
          <w:szCs w:val="24"/>
          <w:lang w:val="en-GB"/>
        </w:rPr>
        <w:t>, R.P.</w:t>
      </w:r>
      <w:r w:rsidRPr="004D3A80">
        <w:rPr>
          <w:rFonts w:ascii="Arial" w:hAnsi="Arial"/>
          <w:szCs w:val="24"/>
          <w:lang w:val="en-GB"/>
        </w:rPr>
        <w:t>, Martínez-Meyer</w:t>
      </w:r>
      <w:r w:rsidR="00E408DE" w:rsidRPr="004D3A80">
        <w:rPr>
          <w:rFonts w:ascii="Arial" w:hAnsi="Arial"/>
          <w:szCs w:val="24"/>
          <w:lang w:val="en-GB"/>
        </w:rPr>
        <w:t>, E.</w:t>
      </w:r>
      <w:r w:rsidRPr="004D3A80">
        <w:rPr>
          <w:rFonts w:ascii="Arial" w:hAnsi="Arial"/>
          <w:szCs w:val="24"/>
          <w:lang w:val="en-GB"/>
        </w:rPr>
        <w:t>, Nakamura</w:t>
      </w:r>
      <w:r w:rsidR="00E408DE" w:rsidRPr="004D3A80">
        <w:rPr>
          <w:rFonts w:ascii="Arial" w:hAnsi="Arial"/>
          <w:szCs w:val="24"/>
          <w:lang w:val="en-GB"/>
        </w:rPr>
        <w:t xml:space="preserve">, M., &amp; </w:t>
      </w:r>
      <w:r w:rsidRPr="004D3A80">
        <w:rPr>
          <w:rFonts w:ascii="Arial" w:hAnsi="Arial"/>
          <w:szCs w:val="24"/>
          <w:lang w:val="en-GB"/>
        </w:rPr>
        <w:t>Araújo</w:t>
      </w:r>
      <w:r w:rsidR="00E408DE" w:rsidRPr="004D3A80">
        <w:rPr>
          <w:rFonts w:ascii="Arial" w:hAnsi="Arial"/>
          <w:szCs w:val="24"/>
          <w:lang w:val="en-GB"/>
        </w:rPr>
        <w:t>, M.B.</w:t>
      </w:r>
      <w:r w:rsidR="00646E3F" w:rsidRPr="004D3A80">
        <w:rPr>
          <w:rFonts w:ascii="Arial" w:hAnsi="Arial"/>
          <w:szCs w:val="24"/>
          <w:lang w:val="en-GB"/>
        </w:rPr>
        <w:t xml:space="preserve"> </w:t>
      </w:r>
      <w:r w:rsidR="00D11430">
        <w:rPr>
          <w:rFonts w:ascii="Arial" w:hAnsi="Arial"/>
          <w:szCs w:val="24"/>
          <w:lang w:val="en-GB"/>
        </w:rPr>
        <w:t>(</w:t>
      </w:r>
      <w:r w:rsidR="00646E3F" w:rsidRPr="004D3A80">
        <w:rPr>
          <w:rFonts w:ascii="Arial" w:hAnsi="Arial"/>
          <w:szCs w:val="24"/>
          <w:lang w:val="en-GB"/>
        </w:rPr>
        <w:t>2011</w:t>
      </w:r>
      <w:r w:rsidR="00D11430">
        <w:rPr>
          <w:rFonts w:ascii="Arial" w:hAnsi="Arial"/>
          <w:szCs w:val="24"/>
          <w:lang w:val="en-GB"/>
        </w:rPr>
        <w:t>)</w:t>
      </w:r>
      <w:r w:rsidR="00E408DE" w:rsidRPr="004D3A80">
        <w:rPr>
          <w:rFonts w:ascii="Arial" w:hAnsi="Arial"/>
          <w:szCs w:val="24"/>
          <w:lang w:val="en-GB"/>
        </w:rPr>
        <w:t>.</w:t>
      </w:r>
      <w:proofErr w:type="gramEnd"/>
      <w:r w:rsidR="00E408DE" w:rsidRPr="004D3A80">
        <w:rPr>
          <w:rFonts w:ascii="Arial" w:hAnsi="Arial"/>
          <w:szCs w:val="24"/>
          <w:lang w:val="en-GB"/>
        </w:rPr>
        <w:t xml:space="preserve"> Ecological Niches and Geographic Distributions. </w:t>
      </w:r>
      <w:proofErr w:type="gramStart"/>
      <w:r w:rsidR="00E408DE" w:rsidRPr="004D3A80">
        <w:rPr>
          <w:rFonts w:ascii="Arial" w:hAnsi="Arial"/>
          <w:szCs w:val="24"/>
          <w:lang w:val="en-GB"/>
        </w:rPr>
        <w:t>Princeton University Press.</w:t>
      </w:r>
      <w:proofErr w:type="gramEnd"/>
    </w:p>
    <w:p w:rsidR="0065371D" w:rsidRPr="004D3A80" w:rsidRDefault="0065371D" w:rsidP="0065371D">
      <w:pPr>
        <w:spacing w:after="0" w:line="360" w:lineRule="auto"/>
        <w:ind w:left="426" w:hanging="426"/>
        <w:rPr>
          <w:rFonts w:ascii="Arial" w:hAnsi="Arial" w:cs="Arial"/>
          <w:szCs w:val="24"/>
          <w:lang w:val="en-GB"/>
        </w:rPr>
      </w:pPr>
      <w:r w:rsidRPr="004D3A80">
        <w:rPr>
          <w:rFonts w:ascii="Arial" w:hAnsi="Arial" w:cs="Arial"/>
          <w:szCs w:val="24"/>
          <w:lang w:val="en-GB"/>
        </w:rPr>
        <w:t xml:space="preserve">Soberón, J. (2007). </w:t>
      </w:r>
      <w:proofErr w:type="gramStart"/>
      <w:r w:rsidRPr="004D3A80">
        <w:rPr>
          <w:rFonts w:ascii="Arial" w:hAnsi="Arial" w:cs="Arial"/>
          <w:szCs w:val="24"/>
          <w:lang w:val="en-GB"/>
        </w:rPr>
        <w:t>Grinnellian and Eltonian niches and geographic distributions of species.</w:t>
      </w:r>
      <w:proofErr w:type="gramEnd"/>
      <w:r w:rsidRPr="004D3A80">
        <w:rPr>
          <w:rFonts w:ascii="Arial" w:hAnsi="Arial" w:cs="Arial"/>
          <w:szCs w:val="24"/>
          <w:lang w:val="en-GB"/>
        </w:rPr>
        <w:t xml:space="preserve"> </w:t>
      </w:r>
      <w:proofErr w:type="gramStart"/>
      <w:r w:rsidRPr="004D3A80">
        <w:rPr>
          <w:rFonts w:ascii="Arial" w:hAnsi="Arial" w:cs="Arial"/>
          <w:i/>
          <w:szCs w:val="24"/>
          <w:lang w:val="en-GB"/>
        </w:rPr>
        <w:t>Ecology Letters</w:t>
      </w:r>
      <w:r w:rsidRPr="004D3A80">
        <w:rPr>
          <w:rFonts w:ascii="Arial" w:hAnsi="Arial" w:cs="Arial"/>
          <w:szCs w:val="24"/>
          <w:lang w:val="en-GB"/>
        </w:rPr>
        <w:t>,</w:t>
      </w:r>
      <w:r w:rsidRPr="004D3A80">
        <w:rPr>
          <w:rFonts w:ascii="Arial" w:hAnsi="Arial" w:cs="Arial"/>
          <w:i/>
          <w:szCs w:val="24"/>
          <w:lang w:val="en-GB"/>
        </w:rPr>
        <w:t xml:space="preserve"> </w:t>
      </w:r>
      <w:r w:rsidRPr="004D3A80">
        <w:rPr>
          <w:rFonts w:ascii="Arial" w:hAnsi="Arial" w:cs="Arial"/>
          <w:szCs w:val="24"/>
          <w:lang w:val="en-GB"/>
        </w:rPr>
        <w:t>10, 1115-1123.</w:t>
      </w:r>
      <w:proofErr w:type="gramEnd"/>
    </w:p>
    <w:p w:rsidR="00D11430" w:rsidRDefault="00D11430" w:rsidP="0065371D">
      <w:pPr>
        <w:spacing w:after="0" w:line="360" w:lineRule="auto"/>
        <w:ind w:left="426" w:hanging="426"/>
        <w:rPr>
          <w:rFonts w:ascii="Arial" w:hAnsi="Arial" w:cs="Arial"/>
          <w:szCs w:val="24"/>
          <w:lang w:val="en-GB"/>
        </w:rPr>
      </w:pPr>
      <w:r w:rsidRPr="00D11430">
        <w:rPr>
          <w:rFonts w:ascii="Arial" w:hAnsi="Arial" w:cs="Arial"/>
          <w:szCs w:val="24"/>
          <w:lang w:val="es-ES_tradnl"/>
        </w:rPr>
        <w:t>Soberón</w:t>
      </w:r>
      <w:r>
        <w:rPr>
          <w:rFonts w:ascii="Arial" w:hAnsi="Arial" w:cs="Arial"/>
          <w:szCs w:val="24"/>
          <w:lang w:val="es-ES_tradnl"/>
        </w:rPr>
        <w:t>, J.,</w:t>
      </w:r>
      <w:r w:rsidRPr="00D11430">
        <w:rPr>
          <w:rFonts w:ascii="Arial" w:hAnsi="Arial" w:cs="Arial"/>
          <w:szCs w:val="24"/>
          <w:lang w:val="es-ES_tradnl"/>
        </w:rPr>
        <w:t xml:space="preserve"> &amp; </w:t>
      </w:r>
      <w:r w:rsidRPr="00D11430">
        <w:rPr>
          <w:rFonts w:ascii="Arial" w:hAnsi="Arial" w:cs="Arial"/>
          <w:szCs w:val="24"/>
          <w:lang w:val="en-GB"/>
        </w:rPr>
        <w:t>Arroyo-Peña (2017</w:t>
      </w:r>
      <w:r>
        <w:rPr>
          <w:rFonts w:ascii="Arial" w:hAnsi="Arial" w:cs="Arial"/>
          <w:szCs w:val="24"/>
          <w:lang w:val="en-GB"/>
        </w:rPr>
        <w:t>).</w:t>
      </w:r>
    </w:p>
    <w:p w:rsidR="0065371D" w:rsidRPr="004D3A80" w:rsidRDefault="0065371D" w:rsidP="0065371D">
      <w:pPr>
        <w:spacing w:after="0" w:line="360" w:lineRule="auto"/>
        <w:ind w:left="426" w:hanging="426"/>
        <w:rPr>
          <w:rFonts w:ascii="Arial" w:hAnsi="Arial" w:cs="Arial"/>
          <w:szCs w:val="24"/>
          <w:lang w:val="en-GB"/>
        </w:rPr>
      </w:pPr>
      <w:proofErr w:type="gramStart"/>
      <w:r w:rsidRPr="004D3A80">
        <w:rPr>
          <w:rFonts w:ascii="Arial" w:hAnsi="Arial" w:cs="Arial"/>
          <w:szCs w:val="24"/>
          <w:lang w:val="en-GB"/>
        </w:rPr>
        <w:t>Tingley, R., Vallinoto, M., Sequeira, F., &amp; Kearney, M.R. (2014).</w:t>
      </w:r>
      <w:proofErr w:type="gramEnd"/>
      <w:r w:rsidRPr="004D3A80">
        <w:rPr>
          <w:rFonts w:ascii="Arial" w:hAnsi="Arial" w:cs="Arial"/>
          <w:szCs w:val="24"/>
          <w:lang w:val="en-GB"/>
        </w:rPr>
        <w:t xml:space="preserve"> Realized niche shift during a global biological invasion. </w:t>
      </w:r>
      <w:proofErr w:type="gramStart"/>
      <w:r w:rsidRPr="004D3A80">
        <w:rPr>
          <w:rFonts w:ascii="Arial" w:hAnsi="Arial" w:cs="Arial"/>
          <w:i/>
          <w:szCs w:val="24"/>
          <w:lang w:val="en-GB"/>
        </w:rPr>
        <w:t>Proceedings of the National Academy of Sciences, USA</w:t>
      </w:r>
      <w:r w:rsidRPr="004D3A80">
        <w:rPr>
          <w:rFonts w:ascii="Arial" w:hAnsi="Arial" w:cs="Arial"/>
          <w:szCs w:val="24"/>
          <w:lang w:val="en-GB"/>
        </w:rPr>
        <w:t>, 111, 10233-10238.</w:t>
      </w:r>
      <w:proofErr w:type="gramEnd"/>
    </w:p>
    <w:p w:rsidR="00EB3252" w:rsidRPr="004D3A80" w:rsidRDefault="00EB3252">
      <w:pPr>
        <w:rPr>
          <w:lang w:val="en-GB"/>
        </w:rPr>
      </w:pPr>
    </w:p>
    <w:sectPr w:rsidR="00EB3252" w:rsidRPr="004D3A80" w:rsidSect="005E3EAE">
      <w:pgSz w:w="12240" w:h="15840"/>
      <w:pgMar w:top="1418" w:right="1418" w:bottom="1418" w:left="1418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de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libri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635C"/>
    <w:multiLevelType w:val="hybridMultilevel"/>
    <w:tmpl w:val="FDCAE3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F0552"/>
    <w:rsid w:val="0006193F"/>
    <w:rsid w:val="0011041B"/>
    <w:rsid w:val="001D27C8"/>
    <w:rsid w:val="00264B2F"/>
    <w:rsid w:val="0028204F"/>
    <w:rsid w:val="00350944"/>
    <w:rsid w:val="0039025D"/>
    <w:rsid w:val="00397B4D"/>
    <w:rsid w:val="003B1931"/>
    <w:rsid w:val="0045351D"/>
    <w:rsid w:val="004B75CF"/>
    <w:rsid w:val="004D3A80"/>
    <w:rsid w:val="004E43B6"/>
    <w:rsid w:val="0057062C"/>
    <w:rsid w:val="005A054F"/>
    <w:rsid w:val="005E3EAE"/>
    <w:rsid w:val="00646E3F"/>
    <w:rsid w:val="0065371D"/>
    <w:rsid w:val="0065544F"/>
    <w:rsid w:val="00710BB9"/>
    <w:rsid w:val="007334C6"/>
    <w:rsid w:val="007E6CFD"/>
    <w:rsid w:val="007E7961"/>
    <w:rsid w:val="007F0552"/>
    <w:rsid w:val="008271CC"/>
    <w:rsid w:val="0087076F"/>
    <w:rsid w:val="00882A86"/>
    <w:rsid w:val="008919B0"/>
    <w:rsid w:val="008A7342"/>
    <w:rsid w:val="008C0602"/>
    <w:rsid w:val="008F2BE8"/>
    <w:rsid w:val="00901425"/>
    <w:rsid w:val="00957F64"/>
    <w:rsid w:val="00965C78"/>
    <w:rsid w:val="00973AFC"/>
    <w:rsid w:val="009762C7"/>
    <w:rsid w:val="009D05E4"/>
    <w:rsid w:val="00A41DEE"/>
    <w:rsid w:val="00A43735"/>
    <w:rsid w:val="00A508E4"/>
    <w:rsid w:val="00A57B47"/>
    <w:rsid w:val="00A85CEB"/>
    <w:rsid w:val="00B4054A"/>
    <w:rsid w:val="00C5115B"/>
    <w:rsid w:val="00C55982"/>
    <w:rsid w:val="00CA6912"/>
    <w:rsid w:val="00D11430"/>
    <w:rsid w:val="00D22F4E"/>
    <w:rsid w:val="00D917CD"/>
    <w:rsid w:val="00DB5BB9"/>
    <w:rsid w:val="00DF4A51"/>
    <w:rsid w:val="00E16550"/>
    <w:rsid w:val="00E26078"/>
    <w:rsid w:val="00E408DE"/>
    <w:rsid w:val="00E545AE"/>
    <w:rsid w:val="00EB3252"/>
    <w:rsid w:val="00F0445F"/>
    <w:rsid w:val="00F120DB"/>
    <w:rsid w:val="00F140C8"/>
    <w:rsid w:val="00F30A5A"/>
    <w:rsid w:val="00F44BF2"/>
    <w:rsid w:val="00F45AA9"/>
    <w:rsid w:val="00F50B9D"/>
    <w:rsid w:val="00F75DCE"/>
    <w:rsid w:val="00F95716"/>
    <w:rsid w:val="00FB682D"/>
    <w:rsid w:val="00FD73B6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D73B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7F0552"/>
    <w:pPr>
      <w:autoSpaceDE w:val="0"/>
      <w:autoSpaceDN w:val="0"/>
      <w:adjustRightInd w:val="0"/>
      <w:spacing w:after="0" w:line="240" w:lineRule="auto"/>
    </w:pPr>
    <w:rPr>
      <w:rFonts w:ascii="Code" w:eastAsia="Code" w:cs="Cod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64B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9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679</Words>
  <Characters>3875</Characters>
  <Application>Microsoft Macintosh Word</Application>
  <DocSecurity>0</DocSecurity>
  <Lines>32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Sayra Espindola</dc:creator>
  <cp:lastModifiedBy>Ella Vazquez</cp:lastModifiedBy>
  <cp:revision>11</cp:revision>
  <dcterms:created xsi:type="dcterms:W3CDTF">2019-07-23T21:06:00Z</dcterms:created>
  <dcterms:modified xsi:type="dcterms:W3CDTF">2019-07-26T15:14:00Z</dcterms:modified>
</cp:coreProperties>
</file>