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7A03" w14:textId="7E8C53C6" w:rsidR="00EE4EE7" w:rsidRPr="00F036C8" w:rsidRDefault="00086B37" w:rsidP="00EE4EE7">
      <w:pPr>
        <w:pStyle w:val="Heading1"/>
        <w:suppressAutoHyphens/>
        <w:spacing w:line="480" w:lineRule="auto"/>
        <w:rPr>
          <w:rFonts w:cs="Times New Roman"/>
          <w:bCs w:val="0"/>
          <w:color w:val="000000" w:themeColor="text1"/>
          <w:sz w:val="28"/>
          <w:szCs w:val="28"/>
        </w:rPr>
      </w:pPr>
      <w:r w:rsidRPr="000E5431">
        <w:rPr>
          <w:rFonts w:cs="Times New Roman"/>
          <w:bCs w:val="0"/>
          <w:color w:val="000000" w:themeColor="text1"/>
          <w:sz w:val="28"/>
          <w:szCs w:val="28"/>
        </w:rPr>
        <w:t>T1000: A reduced gene set prioritized for toxicoge</w:t>
      </w:r>
      <w:bookmarkStart w:id="0" w:name="_GoBack"/>
      <w:bookmarkEnd w:id="0"/>
      <w:r w:rsidRPr="000E5431">
        <w:rPr>
          <w:rFonts w:cs="Times New Roman"/>
          <w:bCs w:val="0"/>
          <w:color w:val="000000" w:themeColor="text1"/>
          <w:sz w:val="28"/>
          <w:szCs w:val="28"/>
        </w:rPr>
        <w:t>nomic studies</w:t>
      </w:r>
      <w:r w:rsidRPr="00F036C8" w:rsidDel="006000BA">
        <w:rPr>
          <w:rFonts w:cs="Times New Roman"/>
          <w:bCs w:val="0"/>
          <w:color w:val="000000" w:themeColor="text1"/>
          <w:sz w:val="28"/>
          <w:szCs w:val="28"/>
        </w:rPr>
        <w:t xml:space="preserve"> </w:t>
      </w:r>
    </w:p>
    <w:p w14:paraId="599D6B61" w14:textId="77777777" w:rsidR="00EE4EE7" w:rsidRPr="00F036C8" w:rsidRDefault="00EE4EE7" w:rsidP="00EE4EE7">
      <w:pPr>
        <w:pStyle w:val="Heading1"/>
        <w:suppressAutoHyphens/>
        <w:spacing w:line="480" w:lineRule="auto"/>
        <w:rPr>
          <w:rFonts w:eastAsia="Times New Roman" w:cs="Times New Roman"/>
          <w:b w:val="0"/>
          <w:iCs/>
          <w:color w:val="000000" w:themeColor="text1"/>
          <w:sz w:val="24"/>
          <w:szCs w:val="24"/>
        </w:rPr>
      </w:pPr>
      <w:r w:rsidRPr="00F036C8">
        <w:rPr>
          <w:rFonts w:eastAsia="Times New Roman" w:cs="Times New Roman"/>
          <w:b w:val="0"/>
          <w:iCs/>
          <w:color w:val="000000" w:themeColor="text1"/>
          <w:sz w:val="24"/>
          <w:szCs w:val="24"/>
          <w:vertAlign w:val="superscript"/>
        </w:rPr>
        <w:t>1</w:t>
      </w:r>
      <w:r w:rsidRPr="00F036C8">
        <w:rPr>
          <w:rFonts w:eastAsia="Times New Roman" w:cs="Times New Roman"/>
          <w:b w:val="0"/>
          <w:iCs/>
          <w:color w:val="000000" w:themeColor="text1"/>
          <w:sz w:val="24"/>
          <w:szCs w:val="24"/>
        </w:rPr>
        <w:t xml:space="preserve">Othman Soufan, </w:t>
      </w:r>
      <w:r w:rsidRPr="00F036C8">
        <w:rPr>
          <w:rFonts w:eastAsia="Times New Roman" w:cs="Times New Roman"/>
          <w:b w:val="0"/>
          <w:iCs/>
          <w:color w:val="000000" w:themeColor="text1"/>
          <w:sz w:val="24"/>
          <w:szCs w:val="24"/>
          <w:vertAlign w:val="superscript"/>
        </w:rPr>
        <w:t>2</w:t>
      </w:r>
      <w:r w:rsidRPr="00F036C8">
        <w:rPr>
          <w:rFonts w:eastAsia="Times New Roman" w:cs="Times New Roman"/>
          <w:b w:val="0"/>
          <w:iCs/>
          <w:color w:val="000000" w:themeColor="text1"/>
          <w:sz w:val="24"/>
          <w:szCs w:val="24"/>
        </w:rPr>
        <w:t xml:space="preserve">Jessica Ewald, </w:t>
      </w:r>
      <w:r w:rsidRPr="00F036C8">
        <w:rPr>
          <w:rFonts w:eastAsia="Times New Roman" w:cs="Times New Roman"/>
          <w:b w:val="0"/>
          <w:iCs/>
          <w:color w:val="000000" w:themeColor="text1"/>
          <w:sz w:val="24"/>
          <w:szCs w:val="24"/>
          <w:vertAlign w:val="superscript"/>
        </w:rPr>
        <w:t>1</w:t>
      </w:r>
      <w:r w:rsidRPr="00F036C8">
        <w:rPr>
          <w:rFonts w:eastAsia="Times New Roman" w:cs="Times New Roman"/>
          <w:b w:val="0"/>
          <w:iCs/>
          <w:color w:val="000000" w:themeColor="text1"/>
          <w:sz w:val="24"/>
          <w:szCs w:val="24"/>
        </w:rPr>
        <w:t xml:space="preserve">Charles </w:t>
      </w:r>
      <w:proofErr w:type="spellStart"/>
      <w:r w:rsidRPr="00F036C8">
        <w:rPr>
          <w:rFonts w:eastAsia="Times New Roman" w:cs="Times New Roman"/>
          <w:b w:val="0"/>
          <w:iCs/>
          <w:color w:val="000000" w:themeColor="text1"/>
          <w:sz w:val="24"/>
          <w:szCs w:val="24"/>
        </w:rPr>
        <w:t>Viau</w:t>
      </w:r>
      <w:proofErr w:type="spellEnd"/>
      <w:r w:rsidRPr="00F036C8">
        <w:rPr>
          <w:rFonts w:eastAsia="Times New Roman" w:cs="Times New Roman"/>
          <w:b w:val="0"/>
          <w:iCs/>
          <w:color w:val="000000" w:themeColor="text1"/>
          <w:sz w:val="24"/>
          <w:szCs w:val="24"/>
        </w:rPr>
        <w:t xml:space="preserve">, </w:t>
      </w:r>
      <w:r w:rsidRPr="00F036C8">
        <w:rPr>
          <w:rFonts w:eastAsia="Times New Roman" w:cs="Times New Roman"/>
          <w:b w:val="0"/>
          <w:iCs/>
          <w:color w:val="000000" w:themeColor="text1"/>
          <w:sz w:val="24"/>
          <w:szCs w:val="24"/>
          <w:vertAlign w:val="superscript"/>
        </w:rPr>
        <w:t>3</w:t>
      </w:r>
      <w:r w:rsidRPr="00F036C8">
        <w:rPr>
          <w:rFonts w:eastAsia="Times New Roman" w:cs="Times New Roman"/>
          <w:b w:val="0"/>
          <w:iCs/>
          <w:color w:val="000000" w:themeColor="text1"/>
          <w:sz w:val="24"/>
          <w:szCs w:val="24"/>
        </w:rPr>
        <w:t xml:space="preserve">Doug Crump, </w:t>
      </w:r>
      <w:r w:rsidRPr="00F036C8">
        <w:rPr>
          <w:rFonts w:eastAsia="Times New Roman" w:cs="Times New Roman"/>
          <w:b w:val="0"/>
          <w:iCs/>
          <w:color w:val="000000" w:themeColor="text1"/>
          <w:sz w:val="24"/>
          <w:szCs w:val="24"/>
          <w:vertAlign w:val="superscript"/>
        </w:rPr>
        <w:t>4</w:t>
      </w:r>
      <w:r w:rsidRPr="00F036C8">
        <w:rPr>
          <w:rFonts w:eastAsia="Times New Roman" w:cs="Times New Roman"/>
          <w:b w:val="0"/>
          <w:iCs/>
          <w:color w:val="000000" w:themeColor="text1"/>
          <w:sz w:val="24"/>
          <w:szCs w:val="24"/>
        </w:rPr>
        <w:t xml:space="preserve">Markus Hecker, </w:t>
      </w:r>
      <w:proofErr w:type="gramStart"/>
      <w:r w:rsidRPr="00F036C8">
        <w:rPr>
          <w:rFonts w:eastAsia="Times New Roman" w:cs="Times New Roman"/>
          <w:b w:val="0"/>
          <w:iCs/>
          <w:color w:val="000000" w:themeColor="text1"/>
          <w:sz w:val="24"/>
          <w:szCs w:val="24"/>
          <w:vertAlign w:val="superscript"/>
        </w:rPr>
        <w:t>2,*</w:t>
      </w:r>
      <w:proofErr w:type="spellStart"/>
      <w:proofErr w:type="gramEnd"/>
      <w:r w:rsidRPr="00F036C8">
        <w:rPr>
          <w:rFonts w:eastAsia="Times New Roman" w:cs="Times New Roman"/>
          <w:b w:val="0"/>
          <w:iCs/>
          <w:color w:val="000000" w:themeColor="text1"/>
          <w:sz w:val="24"/>
          <w:szCs w:val="24"/>
        </w:rPr>
        <w:t>Niladri</w:t>
      </w:r>
      <w:proofErr w:type="spellEnd"/>
      <w:r w:rsidRPr="00F036C8">
        <w:rPr>
          <w:rFonts w:eastAsia="Times New Roman" w:cs="Times New Roman"/>
          <w:b w:val="0"/>
          <w:iCs/>
          <w:color w:val="000000" w:themeColor="text1"/>
          <w:sz w:val="24"/>
          <w:szCs w:val="24"/>
        </w:rPr>
        <w:t xml:space="preserve"> </w:t>
      </w:r>
      <w:proofErr w:type="spellStart"/>
      <w:r w:rsidRPr="00F036C8">
        <w:rPr>
          <w:rFonts w:eastAsia="Times New Roman" w:cs="Times New Roman"/>
          <w:b w:val="0"/>
          <w:iCs/>
          <w:color w:val="000000" w:themeColor="text1"/>
          <w:sz w:val="24"/>
          <w:szCs w:val="24"/>
        </w:rPr>
        <w:t>Basu</w:t>
      </w:r>
      <w:proofErr w:type="spellEnd"/>
      <w:r w:rsidRPr="00F036C8">
        <w:rPr>
          <w:rFonts w:eastAsia="Times New Roman" w:cs="Times New Roman"/>
          <w:b w:val="0"/>
          <w:iCs/>
          <w:color w:val="000000" w:themeColor="text1"/>
          <w:sz w:val="24"/>
          <w:szCs w:val="24"/>
        </w:rPr>
        <w:t xml:space="preserve"> and </w:t>
      </w:r>
      <w:r w:rsidRPr="00F036C8">
        <w:rPr>
          <w:rFonts w:eastAsia="Times New Roman" w:cs="Times New Roman"/>
          <w:b w:val="0"/>
          <w:iCs/>
          <w:color w:val="000000" w:themeColor="text1"/>
          <w:sz w:val="24"/>
          <w:szCs w:val="24"/>
          <w:vertAlign w:val="superscript"/>
        </w:rPr>
        <w:t>1,5,*</w:t>
      </w:r>
      <w:proofErr w:type="spellStart"/>
      <w:r w:rsidRPr="00F036C8">
        <w:rPr>
          <w:rFonts w:eastAsia="Times New Roman" w:cs="Times New Roman"/>
          <w:b w:val="0"/>
          <w:iCs/>
          <w:color w:val="000000" w:themeColor="text1"/>
          <w:sz w:val="24"/>
          <w:szCs w:val="24"/>
        </w:rPr>
        <w:t>Jianguo</w:t>
      </w:r>
      <w:proofErr w:type="spellEnd"/>
      <w:r w:rsidRPr="00F036C8">
        <w:rPr>
          <w:rFonts w:eastAsia="Times New Roman" w:cs="Times New Roman"/>
          <w:b w:val="0"/>
          <w:iCs/>
          <w:color w:val="000000" w:themeColor="text1"/>
          <w:sz w:val="24"/>
          <w:szCs w:val="24"/>
        </w:rPr>
        <w:t xml:space="preserve"> Xia</w:t>
      </w:r>
    </w:p>
    <w:p w14:paraId="072D3B1D" w14:textId="77777777" w:rsidR="00EE4EE7" w:rsidRPr="00F036C8" w:rsidRDefault="00EE4EE7" w:rsidP="00EE4EE7">
      <w:pPr>
        <w:spacing w:line="480" w:lineRule="auto"/>
        <w:jc w:val="both"/>
        <w:rPr>
          <w:color w:val="000000" w:themeColor="text1"/>
        </w:rPr>
      </w:pPr>
      <w:r w:rsidRPr="00F036C8">
        <w:rPr>
          <w:color w:val="000000" w:themeColor="text1"/>
          <w:vertAlign w:val="superscript"/>
        </w:rPr>
        <w:t>1</w:t>
      </w:r>
      <w:r w:rsidRPr="00F036C8">
        <w:rPr>
          <w:color w:val="000000" w:themeColor="text1"/>
        </w:rPr>
        <w:t xml:space="preserve">Institute of Parasitology, McGill University, Montreal, Quebec, Canada; </w:t>
      </w:r>
      <w:r w:rsidRPr="00F036C8">
        <w:rPr>
          <w:color w:val="000000" w:themeColor="text1"/>
          <w:vertAlign w:val="superscript"/>
        </w:rPr>
        <w:t>2</w:t>
      </w:r>
      <w:r w:rsidRPr="00F036C8">
        <w:rPr>
          <w:color w:val="000000" w:themeColor="text1"/>
        </w:rPr>
        <w:t xml:space="preserve">Faculty of Agricultural and Environmental Sciences, McGill University, Montreal, Quebec, Canada; </w:t>
      </w:r>
      <w:r w:rsidRPr="00F036C8">
        <w:rPr>
          <w:color w:val="000000" w:themeColor="text1"/>
          <w:vertAlign w:val="superscript"/>
        </w:rPr>
        <w:t>3</w:t>
      </w:r>
      <w:r w:rsidRPr="00F036C8">
        <w:rPr>
          <w:color w:val="000000" w:themeColor="text1"/>
        </w:rPr>
        <w:t xml:space="preserve">Ecotoxicology and Wildlife Health Division, Environment and Climate Change Canada, National Wildlife Research Centre, Carleton University, Ottawa, Canada; </w:t>
      </w:r>
      <w:r w:rsidRPr="00F036C8">
        <w:rPr>
          <w:color w:val="000000" w:themeColor="text1"/>
          <w:vertAlign w:val="superscript"/>
        </w:rPr>
        <w:t>4</w:t>
      </w:r>
      <w:r w:rsidRPr="00F036C8">
        <w:rPr>
          <w:color w:val="000000" w:themeColor="text1"/>
        </w:rPr>
        <w:t xml:space="preserve">School of the Environment &amp; Sustainability and Toxicology Centre, University of Saskatchewan, </w:t>
      </w:r>
      <w:proofErr w:type="spellStart"/>
      <w:r w:rsidRPr="00F036C8">
        <w:rPr>
          <w:color w:val="000000" w:themeColor="text1"/>
        </w:rPr>
        <w:t>Saskatoon</w:t>
      </w:r>
      <w:proofErr w:type="spellEnd"/>
      <w:r w:rsidRPr="00F036C8">
        <w:rPr>
          <w:color w:val="000000" w:themeColor="text1"/>
        </w:rPr>
        <w:t xml:space="preserve">, Canada; </w:t>
      </w:r>
      <w:r w:rsidRPr="00F036C8">
        <w:rPr>
          <w:color w:val="000000" w:themeColor="text1"/>
          <w:vertAlign w:val="superscript"/>
        </w:rPr>
        <w:t>5</w:t>
      </w:r>
      <w:r w:rsidRPr="00F036C8">
        <w:rPr>
          <w:color w:val="000000" w:themeColor="text1"/>
        </w:rPr>
        <w:t>Department of Animal Science, McGill University, Montreal, Quebec, Canada.</w:t>
      </w:r>
    </w:p>
    <w:p w14:paraId="6D4176F6" w14:textId="0158ACAF" w:rsidR="00EE4EE7" w:rsidRPr="00F036C8" w:rsidRDefault="0052634D" w:rsidP="00EE4EE7">
      <w:pPr>
        <w:jc w:val="center"/>
        <w:rPr>
          <w:color w:val="000000" w:themeColor="text1"/>
          <w:sz w:val="40"/>
          <w:szCs w:val="40"/>
        </w:rPr>
      </w:pPr>
      <w:r w:rsidRPr="00F036C8">
        <w:rPr>
          <w:color w:val="000000" w:themeColor="text1"/>
          <w:sz w:val="40"/>
          <w:szCs w:val="40"/>
        </w:rPr>
        <w:t>Supplementa</w:t>
      </w:r>
      <w:r w:rsidR="00086B37">
        <w:rPr>
          <w:color w:val="000000" w:themeColor="text1"/>
          <w:sz w:val="40"/>
          <w:szCs w:val="40"/>
        </w:rPr>
        <w:t>l</w:t>
      </w:r>
      <w:r w:rsidRPr="00F036C8">
        <w:rPr>
          <w:color w:val="000000" w:themeColor="text1"/>
          <w:sz w:val="40"/>
          <w:szCs w:val="40"/>
        </w:rPr>
        <w:t xml:space="preserve"> Information </w:t>
      </w:r>
      <w:r w:rsidR="00F036C8">
        <w:rPr>
          <w:color w:val="000000" w:themeColor="text1"/>
          <w:sz w:val="40"/>
          <w:szCs w:val="40"/>
        </w:rPr>
        <w:t>S</w:t>
      </w:r>
      <w:r w:rsidR="006F05FC">
        <w:rPr>
          <w:color w:val="000000" w:themeColor="text1"/>
          <w:sz w:val="40"/>
          <w:szCs w:val="40"/>
        </w:rPr>
        <w:t>5</w:t>
      </w:r>
    </w:p>
    <w:p w14:paraId="037DBAC0" w14:textId="77777777" w:rsidR="00EE4EE7" w:rsidRPr="00F036C8" w:rsidRDefault="00EE4EE7" w:rsidP="00EE4EE7">
      <w:pPr>
        <w:jc w:val="center"/>
        <w:rPr>
          <w:color w:val="000000" w:themeColor="text1"/>
          <w:sz w:val="40"/>
          <w:szCs w:val="40"/>
        </w:rPr>
      </w:pPr>
    </w:p>
    <w:p w14:paraId="4BBB463D" w14:textId="77777777" w:rsidR="00E17553" w:rsidRPr="00F036C8" w:rsidRDefault="00E17553" w:rsidP="00E17553">
      <w:pPr>
        <w:jc w:val="both"/>
        <w:rPr>
          <w:color w:val="000000" w:themeColor="text1"/>
        </w:rPr>
      </w:pPr>
      <w:r w:rsidRPr="00F036C8">
        <w:rPr>
          <w:color w:val="000000" w:themeColor="text1"/>
          <w:highlight w:val="white"/>
        </w:rPr>
        <w:t xml:space="preserve">Connectivity map is a widely used resource to query and compare signatures of a gene, a </w:t>
      </w:r>
      <w:r w:rsidRPr="00F036C8">
        <w:rPr>
          <w:color w:val="000000" w:themeColor="text1"/>
        </w:rPr>
        <w:t xml:space="preserve">drug candidate, or a disease state to the database to discover and reveal potential connections among drugs, genes, and diseases </w:t>
      </w:r>
      <w:r w:rsidRPr="00F036C8">
        <w:rPr>
          <w:color w:val="000000" w:themeColor="text1"/>
        </w:rPr>
        <w:fldChar w:fldCharType="begin">
          <w:fldData xml:space="preserve">PEVuZE5vdGU+PENpdGU+PEF1dGhvcj5MYW1iPC9BdXRob3I+PFllYXI+MjAwNjwvWWVhcj48UmVj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</w:fldData>
        </w:fldChar>
      </w:r>
      <w:r w:rsidRPr="00F036C8">
        <w:rPr>
          <w:color w:val="000000" w:themeColor="text1"/>
        </w:rPr>
        <w:instrText xml:space="preserve"> ADDIN EN.CITE </w:instrText>
      </w:r>
      <w:r w:rsidRPr="00F036C8">
        <w:rPr>
          <w:color w:val="000000" w:themeColor="text1"/>
        </w:rPr>
        <w:fldChar w:fldCharType="begin">
          <w:fldData xml:space="preserve">PEVuZE5vdGU+PENpdGU+PEF1dGhvcj5MYW1iPC9BdXRob3I+PFllYXI+MjAwNjwvWWVhcj48UmVj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</w:fldData>
        </w:fldChar>
      </w:r>
      <w:r w:rsidRPr="00F036C8">
        <w:rPr>
          <w:color w:val="000000" w:themeColor="text1"/>
        </w:rPr>
        <w:instrText xml:space="preserve"> ADDIN EN.CITE.DATA </w:instrText>
      </w:r>
      <w:r w:rsidRPr="00F036C8">
        <w:rPr>
          <w:color w:val="000000" w:themeColor="text1"/>
        </w:rPr>
      </w:r>
      <w:r w:rsidRPr="00F036C8">
        <w:rPr>
          <w:color w:val="000000" w:themeColor="text1"/>
        </w:rPr>
        <w:fldChar w:fldCharType="end"/>
      </w:r>
      <w:r w:rsidRPr="00F036C8">
        <w:rPr>
          <w:color w:val="000000" w:themeColor="text1"/>
        </w:rPr>
      </w:r>
      <w:r w:rsidRPr="00F036C8">
        <w:rPr>
          <w:color w:val="000000" w:themeColor="text1"/>
        </w:rPr>
        <w:fldChar w:fldCharType="separate"/>
      </w:r>
      <w:r w:rsidRPr="00F036C8">
        <w:rPr>
          <w:noProof/>
          <w:color w:val="000000" w:themeColor="text1"/>
        </w:rPr>
        <w:t>(Lamb et al. 2006)</w:t>
      </w:r>
      <w:r w:rsidRPr="00F036C8">
        <w:rPr>
          <w:color w:val="000000" w:themeColor="text1"/>
        </w:rPr>
        <w:fldChar w:fldCharType="end"/>
      </w:r>
      <w:r w:rsidRPr="00F036C8">
        <w:rPr>
          <w:color w:val="000000" w:themeColor="text1"/>
        </w:rPr>
        <w:t xml:space="preserve">. T1000 as a </w:t>
      </w:r>
      <w:proofErr w:type="spellStart"/>
      <w:r w:rsidRPr="00F036C8">
        <w:rPr>
          <w:color w:val="000000" w:themeColor="text1"/>
        </w:rPr>
        <w:t>toxicogenomics</w:t>
      </w:r>
      <w:proofErr w:type="spellEnd"/>
      <w:r w:rsidRPr="00F036C8">
        <w:rPr>
          <w:color w:val="000000" w:themeColor="text1"/>
        </w:rPr>
        <w:t xml:space="preserve"> developed signature can be used to indicate drugs with potential toxic effects through mapping to reference profiles of diseases in connectivity map. This gives an example of clinical applications of T1000. </w:t>
      </w:r>
      <w:proofErr w:type="spellStart"/>
      <w:r w:rsidRPr="00F036C8">
        <w:rPr>
          <w:color w:val="000000" w:themeColor="text1"/>
        </w:rPr>
        <w:t>DrugVsDisease</w:t>
      </w:r>
      <w:proofErr w:type="spellEnd"/>
      <w:r w:rsidRPr="00F036C8">
        <w:rPr>
          <w:color w:val="000000" w:themeColor="text1"/>
        </w:rPr>
        <w:t xml:space="preserve"> R package </w:t>
      </w:r>
      <w:r w:rsidRPr="00F036C8">
        <w:rPr>
          <w:color w:val="000000" w:themeColor="text1"/>
        </w:rPr>
        <w:fldChar w:fldCharType="begin"/>
      </w:r>
      <w:r w:rsidRPr="00F036C8">
        <w:rPr>
          <w:color w:val="000000" w:themeColor="text1"/>
        </w:rPr>
        <w:instrText xml:space="preserve"> ADDIN EN.CITE &lt;EndNote&gt;&lt;Cite&gt;&lt;Author&gt;Pacini&lt;/Author&gt;&lt;Year&gt;2013&lt;/Year&gt;&lt;RecNum&gt;185&lt;/RecNum&gt;&lt;DisplayText&gt;(Pacini 2013)&lt;/DisplayText&gt;&lt;record&gt;&lt;rec-number&gt;185&lt;/rec-number&gt;&lt;foreign-keys&gt;&lt;key app="EN" db-id="zavva9aegrpt07evp2pprrwu90p59tsrdwts" timestamp="1564607990"&gt;185&lt;/key&gt;&lt;/foreign-keys&gt;&lt;ref-type name="Journal Article"&gt;17&lt;/ref-type&gt;&lt;contributors&gt;&lt;authors&gt;&lt;author&gt;Pacini, C&lt;/author&gt;&lt;/authors&gt;&lt;/contributors&gt;&lt;titles&gt;&lt;title&gt;DrugVsDisease: Comparison of disease and drug profiles using Gene set Enrichment Analysis&lt;/title&gt;&lt;secondary-title&gt;Bioinformatics, R package version&lt;/secondary-title&gt;&lt;/titles&gt;&lt;periodical&gt;&lt;full-title&gt;Bioinformatics, R package version&lt;/full-title&gt;&lt;/periodical&gt;&lt;volume&gt;2&lt;/volume&gt;&lt;number&gt;0&lt;/number&gt;&lt;dates&gt;&lt;year&gt;2013&lt;/year&gt;&lt;/dates&gt;&lt;urls&gt;&lt;/urls&gt;&lt;/record&gt;&lt;/Cite&gt;&lt;/EndNote&gt;</w:instrText>
      </w:r>
      <w:r w:rsidRPr="00F036C8">
        <w:rPr>
          <w:color w:val="000000" w:themeColor="text1"/>
        </w:rPr>
        <w:fldChar w:fldCharType="separate"/>
      </w:r>
      <w:r w:rsidRPr="00F036C8">
        <w:rPr>
          <w:noProof/>
          <w:color w:val="000000" w:themeColor="text1"/>
        </w:rPr>
        <w:t>(Pacini 2013)</w:t>
      </w:r>
      <w:r w:rsidRPr="00F036C8">
        <w:rPr>
          <w:color w:val="000000" w:themeColor="text1"/>
        </w:rPr>
        <w:fldChar w:fldCharType="end"/>
      </w:r>
      <w:r w:rsidRPr="00F036C8">
        <w:rPr>
          <w:color w:val="000000" w:themeColor="text1"/>
        </w:rPr>
        <w:t xml:space="preserve"> was used to match expression profiles and find significant list of drugs such that data is based on the connectivity map drug screening. We report the results in the following table.</w:t>
      </w:r>
    </w:p>
    <w:tbl>
      <w:tblPr>
        <w:tblStyle w:val="TableGrid"/>
        <w:tblW w:w="10890" w:type="dxa"/>
        <w:tblInd w:w="-905" w:type="dxa"/>
        <w:tblLook w:val="04A0" w:firstRow="1" w:lastRow="0" w:firstColumn="1" w:lastColumn="0" w:noHBand="0" w:noVBand="1"/>
      </w:tblPr>
      <w:tblGrid>
        <w:gridCol w:w="2029"/>
        <w:gridCol w:w="1580"/>
        <w:gridCol w:w="2159"/>
        <w:gridCol w:w="1717"/>
        <w:gridCol w:w="1877"/>
        <w:gridCol w:w="1528"/>
      </w:tblGrid>
      <w:tr w:rsidR="00F036C8" w:rsidRPr="00F036C8" w14:paraId="5D62F6B0" w14:textId="77777777" w:rsidTr="00A871DD">
        <w:tc>
          <w:tcPr>
            <w:tcW w:w="1710" w:type="dxa"/>
          </w:tcPr>
          <w:p w14:paraId="6A827CB5" w14:textId="77777777" w:rsidR="00E17553" w:rsidRPr="00F036C8" w:rsidRDefault="00E17553" w:rsidP="00A871DD">
            <w:pPr>
              <w:rPr>
                <w:color w:val="000000" w:themeColor="text1"/>
              </w:rPr>
            </w:pPr>
            <w:r w:rsidRPr="00F036C8">
              <w:rPr>
                <w:color w:val="000000" w:themeColor="text1"/>
              </w:rPr>
              <w:t>Drug</w:t>
            </w:r>
          </w:p>
        </w:tc>
        <w:tc>
          <w:tcPr>
            <w:tcW w:w="1748" w:type="dxa"/>
          </w:tcPr>
          <w:p w14:paraId="2AF710D5" w14:textId="77777777" w:rsidR="00E17553" w:rsidRPr="00F036C8" w:rsidRDefault="00E17553" w:rsidP="00A871DD">
            <w:pPr>
              <w:rPr>
                <w:color w:val="000000" w:themeColor="text1"/>
              </w:rPr>
            </w:pPr>
            <w:r w:rsidRPr="00F036C8">
              <w:rPr>
                <w:color w:val="000000" w:themeColor="text1"/>
              </w:rPr>
              <w:t>ES Distance</w:t>
            </w:r>
          </w:p>
        </w:tc>
        <w:tc>
          <w:tcPr>
            <w:tcW w:w="2169" w:type="dxa"/>
          </w:tcPr>
          <w:p w14:paraId="634D967D" w14:textId="77777777" w:rsidR="00E17553" w:rsidRPr="00F036C8" w:rsidRDefault="00E17553" w:rsidP="00A871DD">
            <w:pPr>
              <w:rPr>
                <w:color w:val="000000" w:themeColor="text1"/>
              </w:rPr>
            </w:pPr>
            <w:r w:rsidRPr="00F036C8">
              <w:rPr>
                <w:color w:val="000000" w:themeColor="text1"/>
              </w:rPr>
              <w:t>Indication</w:t>
            </w:r>
          </w:p>
        </w:tc>
        <w:tc>
          <w:tcPr>
            <w:tcW w:w="1753" w:type="dxa"/>
          </w:tcPr>
          <w:p w14:paraId="329334D1" w14:textId="77777777" w:rsidR="00E17553" w:rsidRPr="00F036C8" w:rsidRDefault="00E17553" w:rsidP="00A871DD">
            <w:pPr>
              <w:rPr>
                <w:color w:val="000000" w:themeColor="text1"/>
              </w:rPr>
            </w:pPr>
            <w:r w:rsidRPr="00F036C8">
              <w:rPr>
                <w:color w:val="000000" w:themeColor="text1"/>
              </w:rPr>
              <w:t>Globally Harmonized System (GHS) Classification</w:t>
            </w:r>
          </w:p>
        </w:tc>
        <w:tc>
          <w:tcPr>
            <w:tcW w:w="1890" w:type="dxa"/>
          </w:tcPr>
          <w:p w14:paraId="545E15FC" w14:textId="77777777" w:rsidR="00E17553" w:rsidRPr="00F036C8" w:rsidRDefault="00E17553" w:rsidP="00A871DD">
            <w:pPr>
              <w:rPr>
                <w:color w:val="000000" w:themeColor="text1"/>
              </w:rPr>
            </w:pPr>
            <w:r w:rsidRPr="00F036C8">
              <w:rPr>
                <w:color w:val="000000" w:themeColor="text1"/>
              </w:rPr>
              <w:t>Toxicity Notes</w:t>
            </w:r>
          </w:p>
        </w:tc>
        <w:tc>
          <w:tcPr>
            <w:tcW w:w="1620" w:type="dxa"/>
          </w:tcPr>
          <w:p w14:paraId="387E3924" w14:textId="77777777" w:rsidR="00E17553" w:rsidRPr="00F036C8" w:rsidRDefault="00E17553" w:rsidP="00A871DD">
            <w:pPr>
              <w:rPr>
                <w:color w:val="000000" w:themeColor="text1"/>
              </w:rPr>
            </w:pPr>
            <w:r w:rsidRPr="00F036C8">
              <w:rPr>
                <w:color w:val="000000" w:themeColor="text1"/>
              </w:rPr>
              <w:t>Reference</w:t>
            </w:r>
          </w:p>
        </w:tc>
      </w:tr>
      <w:tr w:rsidR="00F036C8" w:rsidRPr="00F036C8" w14:paraId="230414D2" w14:textId="77777777" w:rsidTr="00A871DD">
        <w:tc>
          <w:tcPr>
            <w:tcW w:w="1710" w:type="dxa"/>
          </w:tcPr>
          <w:p w14:paraId="389EAB42" w14:textId="77777777" w:rsidR="00E17553" w:rsidRPr="00F036C8" w:rsidRDefault="00E17553" w:rsidP="00A871DD">
            <w:pPr>
              <w:rPr>
                <w:color w:val="000000" w:themeColor="text1"/>
              </w:rPr>
            </w:pPr>
            <w:r w:rsidRPr="00F036C8">
              <w:rPr>
                <w:color w:val="000000" w:themeColor="text1"/>
              </w:rPr>
              <w:t>Dextromethorphan</w:t>
            </w:r>
          </w:p>
        </w:tc>
        <w:tc>
          <w:tcPr>
            <w:tcW w:w="1748" w:type="dxa"/>
          </w:tcPr>
          <w:p w14:paraId="3A1CDD57" w14:textId="77777777" w:rsidR="00E17553" w:rsidRPr="00F036C8" w:rsidRDefault="00E17553" w:rsidP="00A871DD">
            <w:pPr>
              <w:rPr>
                <w:color w:val="000000" w:themeColor="text1"/>
              </w:rPr>
            </w:pPr>
            <w:r w:rsidRPr="00F036C8">
              <w:rPr>
                <w:color w:val="000000" w:themeColor="text1"/>
              </w:rPr>
              <w:t>0.846</w:t>
            </w:r>
          </w:p>
        </w:tc>
        <w:tc>
          <w:tcPr>
            <w:tcW w:w="2169" w:type="dxa"/>
          </w:tcPr>
          <w:p w14:paraId="00642EB2" w14:textId="77777777" w:rsidR="00E17553" w:rsidRPr="00F036C8" w:rsidRDefault="00E17553" w:rsidP="00A871DD">
            <w:pPr>
              <w:rPr>
                <w:color w:val="000000" w:themeColor="text1"/>
              </w:rPr>
            </w:pPr>
            <w:r w:rsidRPr="00F036C8">
              <w:rPr>
                <w:color w:val="000000" w:themeColor="text1"/>
              </w:rPr>
              <w:t>treatment of dry cough.</w:t>
            </w:r>
          </w:p>
          <w:p w14:paraId="1E601F35" w14:textId="77777777" w:rsidR="00E17553" w:rsidRPr="00F036C8" w:rsidRDefault="00E17553" w:rsidP="00A871DD">
            <w:pPr>
              <w:rPr>
                <w:color w:val="000000" w:themeColor="text1"/>
              </w:rPr>
            </w:pPr>
          </w:p>
        </w:tc>
        <w:tc>
          <w:tcPr>
            <w:tcW w:w="1753" w:type="dxa"/>
          </w:tcPr>
          <w:p w14:paraId="689A051A" w14:textId="77777777" w:rsidR="00E17553" w:rsidRPr="00F036C8" w:rsidRDefault="00E17553" w:rsidP="00A871DD">
            <w:pPr>
              <w:rPr>
                <w:color w:val="000000" w:themeColor="text1"/>
              </w:rPr>
            </w:pPr>
            <w:r w:rsidRPr="00F036C8">
              <w:rPr>
                <w:color w:val="000000" w:themeColor="text1"/>
              </w:rPr>
              <w:t>Acute Toxic (Danger)</w:t>
            </w:r>
          </w:p>
        </w:tc>
        <w:tc>
          <w:tcPr>
            <w:tcW w:w="1890" w:type="dxa"/>
          </w:tcPr>
          <w:p w14:paraId="77C29E4B" w14:textId="77777777" w:rsidR="00E17553" w:rsidRPr="00F036C8" w:rsidRDefault="00E17553" w:rsidP="00A871DD">
            <w:pPr>
              <w:rPr>
                <w:color w:val="000000" w:themeColor="text1"/>
              </w:rPr>
            </w:pPr>
          </w:p>
        </w:tc>
        <w:tc>
          <w:tcPr>
            <w:tcW w:w="1620" w:type="dxa"/>
          </w:tcPr>
          <w:p w14:paraId="003F9A03" w14:textId="77777777" w:rsidR="00E17553" w:rsidRPr="00F036C8" w:rsidRDefault="00E17553" w:rsidP="00A871DD">
            <w:pPr>
              <w:rPr>
                <w:color w:val="000000" w:themeColor="text1"/>
              </w:rPr>
            </w:pPr>
            <w:r w:rsidRPr="00F036C8">
              <w:rPr>
                <w:color w:val="000000" w:themeColor="text1"/>
              </w:rPr>
              <w:t>DB00514</w:t>
            </w:r>
          </w:p>
        </w:tc>
      </w:tr>
      <w:tr w:rsidR="00F036C8" w:rsidRPr="00F036C8" w14:paraId="3D846543" w14:textId="77777777" w:rsidTr="00A871DD">
        <w:tc>
          <w:tcPr>
            <w:tcW w:w="1710" w:type="dxa"/>
          </w:tcPr>
          <w:p w14:paraId="6E9F8AD0" w14:textId="77777777" w:rsidR="00E17553" w:rsidRPr="00F036C8" w:rsidRDefault="00E17553" w:rsidP="00A871DD">
            <w:pPr>
              <w:rPr>
                <w:color w:val="000000" w:themeColor="text1"/>
              </w:rPr>
            </w:pPr>
            <w:proofErr w:type="spellStart"/>
            <w:r w:rsidRPr="00F036C8">
              <w:rPr>
                <w:color w:val="000000" w:themeColor="text1"/>
              </w:rPr>
              <w:t>Iloprost</w:t>
            </w:r>
            <w:proofErr w:type="spellEnd"/>
          </w:p>
        </w:tc>
        <w:tc>
          <w:tcPr>
            <w:tcW w:w="1748" w:type="dxa"/>
          </w:tcPr>
          <w:p w14:paraId="799D4392" w14:textId="77777777" w:rsidR="00E17553" w:rsidRPr="00F036C8" w:rsidRDefault="00E17553" w:rsidP="00A871DD">
            <w:pPr>
              <w:rPr>
                <w:color w:val="000000" w:themeColor="text1"/>
              </w:rPr>
            </w:pPr>
            <w:r w:rsidRPr="00F036C8">
              <w:rPr>
                <w:color w:val="000000" w:themeColor="text1"/>
              </w:rPr>
              <w:t>0.857</w:t>
            </w:r>
          </w:p>
        </w:tc>
        <w:tc>
          <w:tcPr>
            <w:tcW w:w="2169" w:type="dxa"/>
          </w:tcPr>
          <w:p w14:paraId="21363B8A" w14:textId="77777777" w:rsidR="00E17553" w:rsidRPr="00F036C8" w:rsidRDefault="00E17553" w:rsidP="00A871DD">
            <w:pPr>
              <w:rPr>
                <w:color w:val="000000" w:themeColor="text1"/>
              </w:rPr>
            </w:pPr>
            <w:r w:rsidRPr="00F036C8">
              <w:rPr>
                <w:color w:val="000000" w:themeColor="text1"/>
              </w:rPr>
              <w:t>treatment of pulmonary arterial hypertension.</w:t>
            </w:r>
          </w:p>
          <w:p w14:paraId="3896EE95" w14:textId="77777777" w:rsidR="00E17553" w:rsidRPr="00F036C8" w:rsidRDefault="00E17553" w:rsidP="00A871DD">
            <w:pPr>
              <w:rPr>
                <w:color w:val="000000" w:themeColor="text1"/>
              </w:rPr>
            </w:pPr>
          </w:p>
        </w:tc>
        <w:tc>
          <w:tcPr>
            <w:tcW w:w="1753" w:type="dxa"/>
          </w:tcPr>
          <w:p w14:paraId="114B8E9E" w14:textId="77777777" w:rsidR="00E17553" w:rsidRPr="00F036C8" w:rsidRDefault="00E17553" w:rsidP="00A871DD">
            <w:pPr>
              <w:rPr>
                <w:color w:val="000000" w:themeColor="text1"/>
              </w:rPr>
            </w:pPr>
            <w:r w:rsidRPr="00F036C8">
              <w:rPr>
                <w:color w:val="000000" w:themeColor="text1"/>
              </w:rPr>
              <w:t>Acute Toxic; health hazard (Danger)</w:t>
            </w:r>
          </w:p>
        </w:tc>
        <w:tc>
          <w:tcPr>
            <w:tcW w:w="1890" w:type="dxa"/>
          </w:tcPr>
          <w:p w14:paraId="1AAAF7A0" w14:textId="77777777" w:rsidR="00E17553" w:rsidRPr="00F036C8" w:rsidRDefault="00E17553" w:rsidP="00A871DD">
            <w:pPr>
              <w:rPr>
                <w:color w:val="000000" w:themeColor="text1"/>
              </w:rPr>
            </w:pPr>
            <w:r w:rsidRPr="00F036C8">
              <w:rPr>
                <w:color w:val="000000" w:themeColor="text1"/>
              </w:rPr>
              <w:t>Overdoses can lead to hypotension, headache, flushing, nausea, vomiting, and diarrhea.</w:t>
            </w:r>
          </w:p>
          <w:p w14:paraId="2BEA7FC1" w14:textId="77777777" w:rsidR="00E17553" w:rsidRPr="00F036C8" w:rsidRDefault="00E17553" w:rsidP="00A871DD">
            <w:pPr>
              <w:rPr>
                <w:color w:val="000000" w:themeColor="text1"/>
              </w:rPr>
            </w:pPr>
          </w:p>
        </w:tc>
        <w:tc>
          <w:tcPr>
            <w:tcW w:w="1620" w:type="dxa"/>
          </w:tcPr>
          <w:p w14:paraId="5E33E5A7" w14:textId="77777777" w:rsidR="00E17553" w:rsidRPr="00F036C8" w:rsidRDefault="00E17553" w:rsidP="00A871DD">
            <w:pPr>
              <w:rPr>
                <w:color w:val="000000" w:themeColor="text1"/>
              </w:rPr>
            </w:pPr>
            <w:r w:rsidRPr="00F036C8">
              <w:rPr>
                <w:color w:val="000000" w:themeColor="text1"/>
              </w:rPr>
              <w:t>CID 5311181; DB01088</w:t>
            </w:r>
          </w:p>
          <w:p w14:paraId="07FE3002" w14:textId="77777777" w:rsidR="00E17553" w:rsidRPr="00F036C8" w:rsidRDefault="00E17553" w:rsidP="00A871DD">
            <w:pPr>
              <w:rPr>
                <w:color w:val="000000" w:themeColor="text1"/>
              </w:rPr>
            </w:pPr>
          </w:p>
        </w:tc>
      </w:tr>
      <w:tr w:rsidR="00F036C8" w:rsidRPr="00F036C8" w14:paraId="744960A7" w14:textId="77777777" w:rsidTr="00A871DD">
        <w:tc>
          <w:tcPr>
            <w:tcW w:w="1710" w:type="dxa"/>
          </w:tcPr>
          <w:p w14:paraId="1B2D9F72" w14:textId="77777777" w:rsidR="00E17553" w:rsidRPr="00F036C8" w:rsidRDefault="00E17553" w:rsidP="00A871DD">
            <w:pPr>
              <w:rPr>
                <w:color w:val="000000" w:themeColor="text1"/>
              </w:rPr>
            </w:pPr>
            <w:r w:rsidRPr="00F036C8">
              <w:rPr>
                <w:color w:val="000000" w:themeColor="text1"/>
              </w:rPr>
              <w:lastRenderedPageBreak/>
              <w:t>Zoxazolamine</w:t>
            </w:r>
          </w:p>
        </w:tc>
        <w:tc>
          <w:tcPr>
            <w:tcW w:w="1748" w:type="dxa"/>
          </w:tcPr>
          <w:p w14:paraId="404AA5AA" w14:textId="77777777" w:rsidR="00E17553" w:rsidRPr="00F036C8" w:rsidRDefault="00E17553" w:rsidP="00A871DD">
            <w:pPr>
              <w:rPr>
                <w:color w:val="000000" w:themeColor="text1"/>
              </w:rPr>
            </w:pPr>
            <w:r w:rsidRPr="00F036C8">
              <w:rPr>
                <w:color w:val="000000" w:themeColor="text1"/>
              </w:rPr>
              <w:t>0.858</w:t>
            </w:r>
          </w:p>
        </w:tc>
        <w:tc>
          <w:tcPr>
            <w:tcW w:w="2169" w:type="dxa"/>
          </w:tcPr>
          <w:p w14:paraId="0AC24F04" w14:textId="77777777" w:rsidR="00E17553" w:rsidRPr="00F036C8" w:rsidRDefault="00E17553" w:rsidP="00A871DD">
            <w:pPr>
              <w:rPr>
                <w:color w:val="000000" w:themeColor="text1"/>
              </w:rPr>
            </w:pPr>
            <w:r w:rsidRPr="00F036C8">
              <w:rPr>
                <w:color w:val="000000" w:themeColor="text1"/>
              </w:rPr>
              <w:t>Muscle relaxant</w:t>
            </w:r>
          </w:p>
          <w:p w14:paraId="5B5E0147" w14:textId="77777777" w:rsidR="00E17553" w:rsidRPr="00F036C8" w:rsidRDefault="00E17553" w:rsidP="00A871DD">
            <w:pPr>
              <w:rPr>
                <w:color w:val="000000" w:themeColor="text1"/>
              </w:rPr>
            </w:pPr>
          </w:p>
        </w:tc>
        <w:tc>
          <w:tcPr>
            <w:tcW w:w="1753" w:type="dxa"/>
          </w:tcPr>
          <w:p w14:paraId="4063DCCE" w14:textId="77777777" w:rsidR="00E17553" w:rsidRPr="00F036C8" w:rsidRDefault="00E17553" w:rsidP="00A871DD">
            <w:pPr>
              <w:rPr>
                <w:color w:val="000000" w:themeColor="text1"/>
              </w:rPr>
            </w:pPr>
            <w:r w:rsidRPr="00F036C8">
              <w:rPr>
                <w:color w:val="000000" w:themeColor="text1"/>
              </w:rPr>
              <w:t>Irritant</w:t>
            </w:r>
          </w:p>
        </w:tc>
        <w:tc>
          <w:tcPr>
            <w:tcW w:w="1890" w:type="dxa"/>
          </w:tcPr>
          <w:p w14:paraId="521AA6C6" w14:textId="77777777" w:rsidR="00E17553" w:rsidRPr="00F036C8" w:rsidRDefault="00086B37" w:rsidP="00A871DD">
            <w:pPr>
              <w:rPr>
                <w:color w:val="000000" w:themeColor="text1"/>
              </w:rPr>
            </w:pPr>
            <w:hyperlink r:id="rId4" w:tooltip="List of withdrawn drugs" w:history="1">
              <w:r w:rsidR="00E17553" w:rsidRPr="00F036C8">
                <w:rPr>
                  <w:color w:val="000000" w:themeColor="text1"/>
                </w:rPr>
                <w:t>withdrawn</w:t>
              </w:r>
            </w:hyperlink>
            <w:r w:rsidR="00E17553" w:rsidRPr="00F036C8">
              <w:rPr>
                <w:color w:val="000000" w:themeColor="text1"/>
              </w:rPr>
              <w:t> due to </w:t>
            </w:r>
            <w:proofErr w:type="spellStart"/>
            <w:r w:rsidR="00E17553" w:rsidRPr="00F036C8">
              <w:rPr>
                <w:color w:val="000000" w:themeColor="text1"/>
              </w:rPr>
              <w:t>hepatotoxicit</w:t>
            </w:r>
            <w:proofErr w:type="spellEnd"/>
          </w:p>
          <w:p w14:paraId="637CCEE6" w14:textId="77777777" w:rsidR="00E17553" w:rsidRPr="00F036C8" w:rsidRDefault="00E17553" w:rsidP="00A871DD">
            <w:pPr>
              <w:rPr>
                <w:color w:val="000000" w:themeColor="text1"/>
              </w:rPr>
            </w:pPr>
          </w:p>
        </w:tc>
        <w:tc>
          <w:tcPr>
            <w:tcW w:w="1620" w:type="dxa"/>
          </w:tcPr>
          <w:p w14:paraId="461A26A5" w14:textId="77777777" w:rsidR="00E17553" w:rsidRPr="00F036C8" w:rsidRDefault="00E17553" w:rsidP="00A871DD">
            <w:pPr>
              <w:rPr>
                <w:color w:val="000000" w:themeColor="text1"/>
              </w:rPr>
            </w:pPr>
            <w:r w:rsidRPr="00F036C8">
              <w:rPr>
                <w:color w:val="000000" w:themeColor="text1"/>
              </w:rPr>
              <w:t>CID 6103</w:t>
            </w:r>
          </w:p>
        </w:tc>
      </w:tr>
      <w:tr w:rsidR="00F036C8" w:rsidRPr="00F036C8" w14:paraId="390EEF04" w14:textId="77777777" w:rsidTr="00A871DD">
        <w:tc>
          <w:tcPr>
            <w:tcW w:w="1710" w:type="dxa"/>
          </w:tcPr>
          <w:p w14:paraId="3E0DE945" w14:textId="77777777" w:rsidR="00E17553" w:rsidRPr="00F036C8" w:rsidRDefault="00E17553" w:rsidP="00A871DD">
            <w:pPr>
              <w:rPr>
                <w:color w:val="000000" w:themeColor="text1"/>
              </w:rPr>
            </w:pPr>
            <w:proofErr w:type="spellStart"/>
            <w:r w:rsidRPr="00F036C8">
              <w:rPr>
                <w:color w:val="000000" w:themeColor="text1"/>
              </w:rPr>
              <w:t>Meclocycline</w:t>
            </w:r>
            <w:proofErr w:type="spellEnd"/>
          </w:p>
        </w:tc>
        <w:tc>
          <w:tcPr>
            <w:tcW w:w="1748" w:type="dxa"/>
          </w:tcPr>
          <w:p w14:paraId="36BAC69F" w14:textId="77777777" w:rsidR="00E17553" w:rsidRPr="00F036C8" w:rsidRDefault="00E17553" w:rsidP="00A871DD">
            <w:pPr>
              <w:rPr>
                <w:color w:val="000000" w:themeColor="text1"/>
              </w:rPr>
            </w:pPr>
            <w:r w:rsidRPr="00F036C8">
              <w:rPr>
                <w:color w:val="000000" w:themeColor="text1"/>
              </w:rPr>
              <w:t>0.859</w:t>
            </w:r>
          </w:p>
        </w:tc>
        <w:tc>
          <w:tcPr>
            <w:tcW w:w="2169" w:type="dxa"/>
          </w:tcPr>
          <w:p w14:paraId="36629156" w14:textId="77777777" w:rsidR="00E17553" w:rsidRPr="00F036C8" w:rsidRDefault="00E17553" w:rsidP="00A871DD">
            <w:pPr>
              <w:rPr>
                <w:color w:val="000000" w:themeColor="text1"/>
              </w:rPr>
            </w:pPr>
            <w:r w:rsidRPr="00F036C8">
              <w:rPr>
                <w:color w:val="000000" w:themeColor="text1"/>
              </w:rPr>
              <w:t>Currently under investigation for the topical treatment of ulcerative oral mucositis</w:t>
            </w:r>
          </w:p>
          <w:p w14:paraId="7E6E6655" w14:textId="77777777" w:rsidR="00E17553" w:rsidRPr="00F036C8" w:rsidRDefault="00E17553" w:rsidP="00A871DD">
            <w:pPr>
              <w:rPr>
                <w:color w:val="000000" w:themeColor="text1"/>
              </w:rPr>
            </w:pPr>
          </w:p>
        </w:tc>
        <w:tc>
          <w:tcPr>
            <w:tcW w:w="1753" w:type="dxa"/>
          </w:tcPr>
          <w:p w14:paraId="6C58BFC4" w14:textId="77777777" w:rsidR="00E17553" w:rsidRPr="00F036C8" w:rsidRDefault="00E17553" w:rsidP="00A871DD">
            <w:pPr>
              <w:rPr>
                <w:color w:val="000000" w:themeColor="text1"/>
              </w:rPr>
            </w:pPr>
            <w:r w:rsidRPr="00F036C8">
              <w:rPr>
                <w:color w:val="000000" w:themeColor="text1"/>
              </w:rPr>
              <w:t>NA</w:t>
            </w:r>
          </w:p>
        </w:tc>
        <w:tc>
          <w:tcPr>
            <w:tcW w:w="1890" w:type="dxa"/>
          </w:tcPr>
          <w:p w14:paraId="23C1A9D5" w14:textId="77777777" w:rsidR="00E17553" w:rsidRPr="00F036C8" w:rsidRDefault="00E17553" w:rsidP="00A871DD">
            <w:pPr>
              <w:rPr>
                <w:color w:val="000000" w:themeColor="text1"/>
              </w:rPr>
            </w:pPr>
            <w:r w:rsidRPr="00F036C8">
              <w:rPr>
                <w:color w:val="000000" w:themeColor="text1"/>
              </w:rPr>
              <w:t>NA</w:t>
            </w:r>
          </w:p>
        </w:tc>
        <w:tc>
          <w:tcPr>
            <w:tcW w:w="1620" w:type="dxa"/>
          </w:tcPr>
          <w:p w14:paraId="579D0BF2" w14:textId="77777777" w:rsidR="00E17553" w:rsidRPr="00F036C8" w:rsidRDefault="00E17553" w:rsidP="00A871DD">
            <w:pPr>
              <w:rPr>
                <w:color w:val="000000" w:themeColor="text1"/>
              </w:rPr>
            </w:pPr>
            <w:r w:rsidRPr="00F036C8">
              <w:rPr>
                <w:color w:val="000000" w:themeColor="text1"/>
              </w:rPr>
              <w:t>CID 54676539; DB13092</w:t>
            </w:r>
          </w:p>
          <w:p w14:paraId="3EE02C43" w14:textId="77777777" w:rsidR="00E17553" w:rsidRPr="00F036C8" w:rsidRDefault="00E17553" w:rsidP="00A871DD">
            <w:pPr>
              <w:rPr>
                <w:color w:val="000000" w:themeColor="text1"/>
              </w:rPr>
            </w:pPr>
          </w:p>
        </w:tc>
      </w:tr>
      <w:tr w:rsidR="00F036C8" w:rsidRPr="00F036C8" w14:paraId="1DF74145" w14:textId="77777777" w:rsidTr="00A871DD">
        <w:tc>
          <w:tcPr>
            <w:tcW w:w="1710" w:type="dxa"/>
          </w:tcPr>
          <w:p w14:paraId="0CF43CC8" w14:textId="77777777" w:rsidR="00E17553" w:rsidRPr="00F036C8" w:rsidRDefault="00E17553" w:rsidP="00A871DD">
            <w:pPr>
              <w:rPr>
                <w:color w:val="000000" w:themeColor="text1"/>
              </w:rPr>
            </w:pPr>
            <w:r w:rsidRPr="00F036C8">
              <w:rPr>
                <w:color w:val="000000" w:themeColor="text1"/>
              </w:rPr>
              <w:t>Phenformin</w:t>
            </w:r>
          </w:p>
        </w:tc>
        <w:tc>
          <w:tcPr>
            <w:tcW w:w="1748" w:type="dxa"/>
          </w:tcPr>
          <w:p w14:paraId="10CC6D58" w14:textId="77777777" w:rsidR="00E17553" w:rsidRPr="00F036C8" w:rsidRDefault="00E17553" w:rsidP="00A871DD">
            <w:pPr>
              <w:rPr>
                <w:color w:val="000000" w:themeColor="text1"/>
              </w:rPr>
            </w:pPr>
            <w:r w:rsidRPr="00F036C8">
              <w:rPr>
                <w:color w:val="000000" w:themeColor="text1"/>
              </w:rPr>
              <w:t>0.861</w:t>
            </w:r>
          </w:p>
        </w:tc>
        <w:tc>
          <w:tcPr>
            <w:tcW w:w="2169" w:type="dxa"/>
          </w:tcPr>
          <w:p w14:paraId="0D8B94A6" w14:textId="77777777" w:rsidR="00E17553" w:rsidRPr="00F036C8" w:rsidRDefault="00E17553" w:rsidP="00A871DD">
            <w:pPr>
              <w:rPr>
                <w:color w:val="000000" w:themeColor="text1"/>
              </w:rPr>
            </w:pPr>
            <w:r w:rsidRPr="00F036C8">
              <w:rPr>
                <w:color w:val="000000" w:themeColor="text1"/>
              </w:rPr>
              <w:t>A biguanide hypoglycemic agent with actions and uses similar to those of metformin.</w:t>
            </w:r>
          </w:p>
          <w:p w14:paraId="3ED26950" w14:textId="77777777" w:rsidR="00E17553" w:rsidRPr="00F036C8" w:rsidRDefault="00E17553" w:rsidP="00A871DD">
            <w:pPr>
              <w:rPr>
                <w:color w:val="000000" w:themeColor="text1"/>
              </w:rPr>
            </w:pPr>
          </w:p>
        </w:tc>
        <w:tc>
          <w:tcPr>
            <w:tcW w:w="1753" w:type="dxa"/>
          </w:tcPr>
          <w:p w14:paraId="291F0711" w14:textId="77777777" w:rsidR="00E17553" w:rsidRPr="00F036C8" w:rsidRDefault="00E17553" w:rsidP="00A871DD">
            <w:pPr>
              <w:rPr>
                <w:color w:val="000000" w:themeColor="text1"/>
              </w:rPr>
            </w:pPr>
            <w:r w:rsidRPr="00F036C8">
              <w:rPr>
                <w:color w:val="000000" w:themeColor="text1"/>
              </w:rPr>
              <w:t>NA</w:t>
            </w:r>
          </w:p>
        </w:tc>
        <w:tc>
          <w:tcPr>
            <w:tcW w:w="1890" w:type="dxa"/>
          </w:tcPr>
          <w:p w14:paraId="265EEB52" w14:textId="77777777" w:rsidR="00E17553" w:rsidRPr="00F036C8" w:rsidRDefault="00E17553" w:rsidP="00A871DD">
            <w:pPr>
              <w:rPr>
                <w:color w:val="000000" w:themeColor="text1"/>
              </w:rPr>
            </w:pPr>
            <w:r w:rsidRPr="00F036C8">
              <w:rPr>
                <w:color w:val="000000" w:themeColor="text1"/>
              </w:rPr>
              <w:t xml:space="preserve">withdrawn or removed from the US and other market </w:t>
            </w:r>
            <w:proofErr w:type="spellStart"/>
            <w:r w:rsidRPr="00F036C8">
              <w:rPr>
                <w:color w:val="000000" w:themeColor="text1"/>
              </w:rPr>
              <w:t>sfor</w:t>
            </w:r>
            <w:proofErr w:type="spellEnd"/>
            <w:r w:rsidRPr="00F036C8">
              <w:rPr>
                <w:color w:val="000000" w:themeColor="text1"/>
              </w:rPr>
              <w:t xml:space="preserve"> reasons of safety or effectiveness.</w:t>
            </w:r>
          </w:p>
          <w:p w14:paraId="227681F5" w14:textId="77777777" w:rsidR="00E17553" w:rsidRPr="00F036C8" w:rsidRDefault="00E17553" w:rsidP="00A871DD">
            <w:pPr>
              <w:rPr>
                <w:color w:val="000000" w:themeColor="text1"/>
              </w:rPr>
            </w:pPr>
          </w:p>
        </w:tc>
        <w:tc>
          <w:tcPr>
            <w:tcW w:w="1620" w:type="dxa"/>
          </w:tcPr>
          <w:p w14:paraId="37644D53" w14:textId="77777777" w:rsidR="00E17553" w:rsidRPr="00F036C8" w:rsidRDefault="00E17553" w:rsidP="00A871DD">
            <w:pPr>
              <w:rPr>
                <w:color w:val="000000" w:themeColor="text1"/>
              </w:rPr>
            </w:pPr>
            <w:r w:rsidRPr="00F036C8">
              <w:rPr>
                <w:color w:val="000000" w:themeColor="text1"/>
              </w:rPr>
              <w:t>CID 8249;</w:t>
            </w:r>
          </w:p>
        </w:tc>
      </w:tr>
      <w:tr w:rsidR="00F036C8" w:rsidRPr="00F036C8" w14:paraId="63529630" w14:textId="77777777" w:rsidTr="00A871DD">
        <w:tc>
          <w:tcPr>
            <w:tcW w:w="1710" w:type="dxa"/>
          </w:tcPr>
          <w:p w14:paraId="318FBEEC" w14:textId="77777777" w:rsidR="00E17553" w:rsidRPr="00F036C8" w:rsidRDefault="00E17553" w:rsidP="00A871DD">
            <w:pPr>
              <w:rPr>
                <w:color w:val="000000" w:themeColor="text1"/>
              </w:rPr>
            </w:pPr>
            <w:r w:rsidRPr="00F036C8">
              <w:rPr>
                <w:color w:val="000000" w:themeColor="text1"/>
              </w:rPr>
              <w:t>Enilconazole</w:t>
            </w:r>
          </w:p>
        </w:tc>
        <w:tc>
          <w:tcPr>
            <w:tcW w:w="1748" w:type="dxa"/>
          </w:tcPr>
          <w:p w14:paraId="729C28D1" w14:textId="77777777" w:rsidR="00E17553" w:rsidRPr="00F036C8" w:rsidRDefault="00E17553" w:rsidP="00A871DD">
            <w:pPr>
              <w:rPr>
                <w:color w:val="000000" w:themeColor="text1"/>
              </w:rPr>
            </w:pPr>
            <w:r w:rsidRPr="00F036C8">
              <w:rPr>
                <w:color w:val="000000" w:themeColor="text1"/>
              </w:rPr>
              <w:t>0.863</w:t>
            </w:r>
          </w:p>
        </w:tc>
        <w:tc>
          <w:tcPr>
            <w:tcW w:w="2169" w:type="dxa"/>
          </w:tcPr>
          <w:p w14:paraId="6BD6C5E5" w14:textId="77777777" w:rsidR="00E17553" w:rsidRPr="00F036C8" w:rsidRDefault="00E17553" w:rsidP="00A871DD">
            <w:pPr>
              <w:rPr>
                <w:color w:val="000000" w:themeColor="text1"/>
              </w:rPr>
            </w:pPr>
            <w:r w:rsidRPr="00F036C8">
              <w:rPr>
                <w:color w:val="000000" w:themeColor="text1"/>
              </w:rPr>
              <w:t>veterinary medicine Antifungal</w:t>
            </w:r>
          </w:p>
          <w:p w14:paraId="2972D8A8" w14:textId="77777777" w:rsidR="00E17553" w:rsidRPr="00F036C8" w:rsidRDefault="00E17553" w:rsidP="00A871DD">
            <w:pPr>
              <w:rPr>
                <w:color w:val="000000" w:themeColor="text1"/>
              </w:rPr>
            </w:pPr>
          </w:p>
          <w:p w14:paraId="35EE5F40" w14:textId="77777777" w:rsidR="00E17553" w:rsidRPr="00F036C8" w:rsidRDefault="00E17553" w:rsidP="00A871DD">
            <w:pPr>
              <w:rPr>
                <w:color w:val="000000" w:themeColor="text1"/>
              </w:rPr>
            </w:pPr>
          </w:p>
        </w:tc>
        <w:tc>
          <w:tcPr>
            <w:tcW w:w="1753" w:type="dxa"/>
          </w:tcPr>
          <w:p w14:paraId="14C8F943" w14:textId="77777777" w:rsidR="00E17553" w:rsidRPr="00F036C8" w:rsidRDefault="00E17553" w:rsidP="00A871DD">
            <w:pPr>
              <w:rPr>
                <w:color w:val="000000" w:themeColor="text1"/>
              </w:rPr>
            </w:pPr>
            <w:r w:rsidRPr="00F036C8">
              <w:rPr>
                <w:color w:val="000000" w:themeColor="text1"/>
              </w:rPr>
              <w:t xml:space="preserve">Corrosive; acute toxic; irritant; health </w:t>
            </w:r>
            <w:proofErr w:type="gramStart"/>
            <w:r w:rsidRPr="00F036C8">
              <w:rPr>
                <w:color w:val="000000" w:themeColor="text1"/>
              </w:rPr>
              <w:t>hazard;  environmental</w:t>
            </w:r>
            <w:proofErr w:type="gramEnd"/>
            <w:r w:rsidRPr="00F036C8">
              <w:rPr>
                <w:color w:val="000000" w:themeColor="text1"/>
              </w:rPr>
              <w:t xml:space="preserve"> hazard</w:t>
            </w:r>
          </w:p>
        </w:tc>
        <w:tc>
          <w:tcPr>
            <w:tcW w:w="1890" w:type="dxa"/>
          </w:tcPr>
          <w:p w14:paraId="7D0F3F1A" w14:textId="77777777" w:rsidR="00E17553" w:rsidRPr="00F036C8" w:rsidRDefault="00E17553" w:rsidP="00A871DD">
            <w:pPr>
              <w:rPr>
                <w:color w:val="000000" w:themeColor="text1"/>
              </w:rPr>
            </w:pPr>
            <w:r w:rsidRPr="00F036C8">
              <w:rPr>
                <w:color w:val="000000" w:themeColor="text1"/>
              </w:rPr>
              <w:t>NA</w:t>
            </w:r>
          </w:p>
        </w:tc>
        <w:tc>
          <w:tcPr>
            <w:tcW w:w="1620" w:type="dxa"/>
          </w:tcPr>
          <w:p w14:paraId="4CF4B863" w14:textId="77777777" w:rsidR="00E17553" w:rsidRPr="00F036C8" w:rsidRDefault="00E17553" w:rsidP="00A871DD">
            <w:pPr>
              <w:rPr>
                <w:color w:val="000000" w:themeColor="text1"/>
              </w:rPr>
            </w:pPr>
            <w:r w:rsidRPr="00F036C8">
              <w:rPr>
                <w:color w:val="000000" w:themeColor="text1"/>
              </w:rPr>
              <w:t>CID 37175</w:t>
            </w:r>
          </w:p>
        </w:tc>
      </w:tr>
      <w:tr w:rsidR="00F036C8" w:rsidRPr="00F036C8" w14:paraId="1C57EF91" w14:textId="77777777" w:rsidTr="00A871DD">
        <w:tc>
          <w:tcPr>
            <w:tcW w:w="1710" w:type="dxa"/>
          </w:tcPr>
          <w:p w14:paraId="7258A2AD" w14:textId="77777777" w:rsidR="00E17553" w:rsidRPr="00F036C8" w:rsidRDefault="00E17553" w:rsidP="00A871DD">
            <w:pPr>
              <w:rPr>
                <w:color w:val="000000" w:themeColor="text1"/>
              </w:rPr>
            </w:pPr>
            <w:proofErr w:type="spellStart"/>
            <w:r w:rsidRPr="00F036C8">
              <w:rPr>
                <w:color w:val="000000" w:themeColor="text1"/>
              </w:rPr>
              <w:t>Isoetarine</w:t>
            </w:r>
            <w:proofErr w:type="spellEnd"/>
          </w:p>
        </w:tc>
        <w:tc>
          <w:tcPr>
            <w:tcW w:w="1748" w:type="dxa"/>
          </w:tcPr>
          <w:p w14:paraId="4D65AE9F" w14:textId="77777777" w:rsidR="00E17553" w:rsidRPr="00F036C8" w:rsidRDefault="00E17553" w:rsidP="00A871DD">
            <w:pPr>
              <w:rPr>
                <w:color w:val="000000" w:themeColor="text1"/>
              </w:rPr>
            </w:pPr>
            <w:r w:rsidRPr="00F036C8">
              <w:rPr>
                <w:color w:val="000000" w:themeColor="text1"/>
              </w:rPr>
              <w:t>0.865</w:t>
            </w:r>
          </w:p>
        </w:tc>
        <w:tc>
          <w:tcPr>
            <w:tcW w:w="2169" w:type="dxa"/>
          </w:tcPr>
          <w:p w14:paraId="50E8F9A1" w14:textId="77777777" w:rsidR="00E17553" w:rsidRPr="00F036C8" w:rsidRDefault="00E17553" w:rsidP="00A871DD">
            <w:pPr>
              <w:rPr>
                <w:color w:val="000000" w:themeColor="text1"/>
              </w:rPr>
            </w:pPr>
            <w:r w:rsidRPr="00F036C8">
              <w:rPr>
                <w:color w:val="000000" w:themeColor="text1"/>
              </w:rPr>
              <w:t>For the treatment of asthma, wheezing, and chronic asthmatic bronchitis.</w:t>
            </w:r>
          </w:p>
          <w:p w14:paraId="14BD7699" w14:textId="77777777" w:rsidR="00E17553" w:rsidRPr="00F036C8" w:rsidRDefault="00E17553" w:rsidP="00A871DD">
            <w:pPr>
              <w:rPr>
                <w:color w:val="000000" w:themeColor="text1"/>
              </w:rPr>
            </w:pPr>
          </w:p>
        </w:tc>
        <w:tc>
          <w:tcPr>
            <w:tcW w:w="1753" w:type="dxa"/>
          </w:tcPr>
          <w:p w14:paraId="437B8EA5" w14:textId="77777777" w:rsidR="00E17553" w:rsidRPr="00F036C8" w:rsidRDefault="00E17553" w:rsidP="00A871DD">
            <w:pPr>
              <w:rPr>
                <w:color w:val="000000" w:themeColor="text1"/>
              </w:rPr>
            </w:pPr>
            <w:r w:rsidRPr="00F036C8">
              <w:rPr>
                <w:color w:val="000000" w:themeColor="text1"/>
              </w:rPr>
              <w:t>NA</w:t>
            </w:r>
          </w:p>
        </w:tc>
        <w:tc>
          <w:tcPr>
            <w:tcW w:w="1890" w:type="dxa"/>
          </w:tcPr>
          <w:p w14:paraId="761C1938" w14:textId="77777777" w:rsidR="00E17553" w:rsidRPr="00F036C8" w:rsidRDefault="00E17553" w:rsidP="00A871DD">
            <w:pPr>
              <w:rPr>
                <w:color w:val="000000" w:themeColor="text1"/>
              </w:rPr>
            </w:pPr>
            <w:r w:rsidRPr="00F036C8">
              <w:rPr>
                <w:color w:val="000000" w:themeColor="text1"/>
              </w:rPr>
              <w:t>Signs of overdose include tachycardia, palpitations, nausea, headache, and </w:t>
            </w:r>
            <w:hyperlink r:id="rId5" w:history="1">
              <w:r w:rsidRPr="00F036C8">
                <w:rPr>
                  <w:color w:val="000000" w:themeColor="text1"/>
                </w:rPr>
                <w:t>epinephrine</w:t>
              </w:r>
            </w:hyperlink>
            <w:r w:rsidRPr="00F036C8">
              <w:rPr>
                <w:color w:val="000000" w:themeColor="text1"/>
              </w:rPr>
              <w:t>-like side effects.</w:t>
            </w:r>
          </w:p>
          <w:p w14:paraId="2F006BE9" w14:textId="77777777" w:rsidR="00E17553" w:rsidRPr="00F036C8" w:rsidRDefault="00E17553" w:rsidP="00A871DD">
            <w:pPr>
              <w:rPr>
                <w:color w:val="000000" w:themeColor="text1"/>
              </w:rPr>
            </w:pPr>
          </w:p>
        </w:tc>
        <w:tc>
          <w:tcPr>
            <w:tcW w:w="1620" w:type="dxa"/>
          </w:tcPr>
          <w:p w14:paraId="3E389925" w14:textId="77777777" w:rsidR="00E17553" w:rsidRPr="00F036C8" w:rsidRDefault="00E17553" w:rsidP="00A871DD">
            <w:pPr>
              <w:rPr>
                <w:color w:val="000000" w:themeColor="text1"/>
              </w:rPr>
            </w:pPr>
            <w:r w:rsidRPr="00F036C8">
              <w:rPr>
                <w:color w:val="000000" w:themeColor="text1"/>
              </w:rPr>
              <w:t>CID 3762</w:t>
            </w:r>
          </w:p>
        </w:tc>
      </w:tr>
      <w:tr w:rsidR="00F036C8" w:rsidRPr="00F036C8" w14:paraId="7B70D7D3" w14:textId="77777777" w:rsidTr="00A871DD">
        <w:tc>
          <w:tcPr>
            <w:tcW w:w="1710" w:type="dxa"/>
          </w:tcPr>
          <w:p w14:paraId="748E6052" w14:textId="77777777" w:rsidR="00E17553" w:rsidRPr="00F036C8" w:rsidRDefault="00E17553" w:rsidP="00A871DD">
            <w:pPr>
              <w:rPr>
                <w:color w:val="000000" w:themeColor="text1"/>
              </w:rPr>
            </w:pPr>
            <w:proofErr w:type="spellStart"/>
            <w:r w:rsidRPr="00F036C8">
              <w:rPr>
                <w:color w:val="000000" w:themeColor="text1"/>
              </w:rPr>
              <w:t>Laudanosine</w:t>
            </w:r>
            <w:proofErr w:type="spellEnd"/>
          </w:p>
        </w:tc>
        <w:tc>
          <w:tcPr>
            <w:tcW w:w="1748" w:type="dxa"/>
          </w:tcPr>
          <w:p w14:paraId="1512110B" w14:textId="77777777" w:rsidR="00E17553" w:rsidRPr="00F036C8" w:rsidRDefault="00E17553" w:rsidP="00A871DD">
            <w:pPr>
              <w:rPr>
                <w:color w:val="000000" w:themeColor="text1"/>
              </w:rPr>
            </w:pPr>
            <w:r w:rsidRPr="00F036C8">
              <w:rPr>
                <w:color w:val="000000" w:themeColor="text1"/>
              </w:rPr>
              <w:t>0.866</w:t>
            </w:r>
          </w:p>
        </w:tc>
        <w:tc>
          <w:tcPr>
            <w:tcW w:w="2169" w:type="dxa"/>
          </w:tcPr>
          <w:p w14:paraId="71249228" w14:textId="77777777" w:rsidR="00E17553" w:rsidRPr="00F036C8" w:rsidRDefault="00E17553" w:rsidP="00A871DD">
            <w:pPr>
              <w:rPr>
                <w:color w:val="000000" w:themeColor="text1"/>
              </w:rPr>
            </w:pPr>
            <w:r w:rsidRPr="00F036C8">
              <w:rPr>
                <w:color w:val="000000" w:themeColor="text1"/>
              </w:rPr>
              <w:t>NA</w:t>
            </w:r>
          </w:p>
        </w:tc>
        <w:tc>
          <w:tcPr>
            <w:tcW w:w="1753" w:type="dxa"/>
          </w:tcPr>
          <w:p w14:paraId="23080D75" w14:textId="77777777" w:rsidR="00E17553" w:rsidRPr="00F036C8" w:rsidRDefault="00E17553" w:rsidP="00A871DD">
            <w:pPr>
              <w:rPr>
                <w:color w:val="000000" w:themeColor="text1"/>
              </w:rPr>
            </w:pPr>
            <w:proofErr w:type="spellStart"/>
            <w:r w:rsidRPr="00F036C8">
              <w:rPr>
                <w:color w:val="000000" w:themeColor="text1"/>
              </w:rPr>
              <w:t>Acutate</w:t>
            </w:r>
            <w:proofErr w:type="spellEnd"/>
            <w:r w:rsidRPr="00F036C8">
              <w:rPr>
                <w:color w:val="000000" w:themeColor="text1"/>
              </w:rPr>
              <w:t xml:space="preserve"> toxic</w:t>
            </w:r>
          </w:p>
        </w:tc>
        <w:tc>
          <w:tcPr>
            <w:tcW w:w="1890" w:type="dxa"/>
          </w:tcPr>
          <w:p w14:paraId="06F8FDFA" w14:textId="77777777" w:rsidR="00E17553" w:rsidRPr="00F036C8" w:rsidRDefault="00E17553" w:rsidP="00A871DD">
            <w:pPr>
              <w:rPr>
                <w:color w:val="000000" w:themeColor="text1"/>
              </w:rPr>
            </w:pPr>
            <w:r w:rsidRPr="00F036C8">
              <w:rPr>
                <w:color w:val="000000" w:themeColor="text1"/>
              </w:rPr>
              <w:t>NA</w:t>
            </w:r>
          </w:p>
        </w:tc>
        <w:tc>
          <w:tcPr>
            <w:tcW w:w="1620" w:type="dxa"/>
          </w:tcPr>
          <w:p w14:paraId="19340357" w14:textId="77777777" w:rsidR="00E17553" w:rsidRPr="00F036C8" w:rsidRDefault="00E17553" w:rsidP="00A871DD">
            <w:pPr>
              <w:rPr>
                <w:color w:val="000000" w:themeColor="text1"/>
              </w:rPr>
            </w:pPr>
            <w:r w:rsidRPr="00F036C8">
              <w:rPr>
                <w:color w:val="000000" w:themeColor="text1"/>
              </w:rPr>
              <w:t>CID 15548</w:t>
            </w:r>
          </w:p>
        </w:tc>
      </w:tr>
      <w:tr w:rsidR="00F036C8" w:rsidRPr="00F036C8" w14:paraId="4CB74AB3" w14:textId="77777777" w:rsidTr="00A871DD">
        <w:tc>
          <w:tcPr>
            <w:tcW w:w="1710" w:type="dxa"/>
          </w:tcPr>
          <w:p w14:paraId="3314B4D6" w14:textId="77777777" w:rsidR="00E17553" w:rsidRPr="00F036C8" w:rsidRDefault="00E17553" w:rsidP="00A871DD">
            <w:pPr>
              <w:rPr>
                <w:color w:val="000000" w:themeColor="text1"/>
              </w:rPr>
            </w:pPr>
            <w:proofErr w:type="spellStart"/>
            <w:r w:rsidRPr="00F036C8">
              <w:rPr>
                <w:color w:val="000000" w:themeColor="text1"/>
              </w:rPr>
              <w:t>Cefoperazone</w:t>
            </w:r>
            <w:proofErr w:type="spellEnd"/>
          </w:p>
        </w:tc>
        <w:tc>
          <w:tcPr>
            <w:tcW w:w="1748" w:type="dxa"/>
          </w:tcPr>
          <w:p w14:paraId="3C6A40E5" w14:textId="77777777" w:rsidR="00E17553" w:rsidRPr="00F036C8" w:rsidRDefault="00E17553" w:rsidP="00A871DD">
            <w:pPr>
              <w:rPr>
                <w:color w:val="000000" w:themeColor="text1"/>
              </w:rPr>
            </w:pPr>
            <w:r w:rsidRPr="00F036C8">
              <w:rPr>
                <w:color w:val="000000" w:themeColor="text1"/>
              </w:rPr>
              <w:t>0.867</w:t>
            </w:r>
          </w:p>
        </w:tc>
        <w:tc>
          <w:tcPr>
            <w:tcW w:w="2169" w:type="dxa"/>
          </w:tcPr>
          <w:p w14:paraId="53487226" w14:textId="77777777" w:rsidR="00E17553" w:rsidRPr="00F036C8" w:rsidRDefault="00E17553" w:rsidP="00A871DD">
            <w:pPr>
              <w:rPr>
                <w:color w:val="000000" w:themeColor="text1"/>
              </w:rPr>
            </w:pPr>
            <w:r w:rsidRPr="00F036C8">
              <w:rPr>
                <w:color w:val="000000" w:themeColor="text1"/>
              </w:rPr>
              <w:t>treatment of various bacterial infections caused by susceptible organisms in the body, including respiratory tract infections, peritonitis, skin infections, endometritis, and bacterial septicemia.</w:t>
            </w:r>
          </w:p>
          <w:p w14:paraId="1D4FF74B" w14:textId="77777777" w:rsidR="00E17553" w:rsidRPr="00F036C8" w:rsidRDefault="00E17553" w:rsidP="00A871DD">
            <w:pPr>
              <w:rPr>
                <w:color w:val="000000" w:themeColor="text1"/>
              </w:rPr>
            </w:pPr>
          </w:p>
        </w:tc>
        <w:tc>
          <w:tcPr>
            <w:tcW w:w="1753" w:type="dxa"/>
          </w:tcPr>
          <w:p w14:paraId="1FCEC9C5" w14:textId="77777777" w:rsidR="00E17553" w:rsidRPr="00F036C8" w:rsidRDefault="00E17553" w:rsidP="00A871DD">
            <w:pPr>
              <w:rPr>
                <w:color w:val="000000" w:themeColor="text1"/>
              </w:rPr>
            </w:pPr>
            <w:r w:rsidRPr="00F036C8">
              <w:rPr>
                <w:color w:val="000000" w:themeColor="text1"/>
              </w:rPr>
              <w:t>Irritant; Health Hazard</w:t>
            </w:r>
          </w:p>
        </w:tc>
        <w:tc>
          <w:tcPr>
            <w:tcW w:w="1890" w:type="dxa"/>
          </w:tcPr>
          <w:p w14:paraId="5B1F5605" w14:textId="77777777" w:rsidR="00E17553" w:rsidRPr="00F036C8" w:rsidRDefault="00E17553" w:rsidP="00A871DD">
            <w:pPr>
              <w:rPr>
                <w:color w:val="000000" w:themeColor="text1"/>
              </w:rPr>
            </w:pPr>
            <w:r w:rsidRPr="00F036C8">
              <w:rPr>
                <w:color w:val="000000" w:themeColor="text1"/>
              </w:rPr>
              <w:t>discontinued in the U.S.</w:t>
            </w:r>
          </w:p>
          <w:p w14:paraId="5C33D448" w14:textId="77777777" w:rsidR="00E17553" w:rsidRPr="00F036C8" w:rsidRDefault="00E17553" w:rsidP="00A871DD">
            <w:pPr>
              <w:rPr>
                <w:color w:val="000000" w:themeColor="text1"/>
              </w:rPr>
            </w:pPr>
          </w:p>
        </w:tc>
        <w:tc>
          <w:tcPr>
            <w:tcW w:w="1620" w:type="dxa"/>
          </w:tcPr>
          <w:p w14:paraId="4B63BF86" w14:textId="77777777" w:rsidR="00E17553" w:rsidRPr="00F036C8" w:rsidRDefault="00E17553" w:rsidP="00A871DD">
            <w:pPr>
              <w:rPr>
                <w:color w:val="000000" w:themeColor="text1"/>
              </w:rPr>
            </w:pPr>
            <w:r w:rsidRPr="00F036C8">
              <w:rPr>
                <w:color w:val="000000" w:themeColor="text1"/>
              </w:rPr>
              <w:t>CID 44187; DB01329</w:t>
            </w:r>
          </w:p>
        </w:tc>
      </w:tr>
    </w:tbl>
    <w:p w14:paraId="2EB998C2" w14:textId="77777777" w:rsidR="00E17553" w:rsidRPr="00F036C8" w:rsidRDefault="00E17553" w:rsidP="005F7FF7">
      <w:pPr>
        <w:jc w:val="both"/>
        <w:rPr>
          <w:color w:val="000000" w:themeColor="text1"/>
        </w:rPr>
      </w:pPr>
    </w:p>
    <w:p w14:paraId="2ACA28AA" w14:textId="1873C156" w:rsidR="00F570E0" w:rsidRDefault="005F7FF7" w:rsidP="005F7FF7">
      <w:pPr>
        <w:jc w:val="both"/>
        <w:rPr>
          <w:color w:val="000000" w:themeColor="text1"/>
        </w:rPr>
      </w:pPr>
      <w:r>
        <w:rPr>
          <w:color w:val="000000" w:themeColor="text1"/>
        </w:rPr>
        <w:t>In the table, ES distance refers to t</w:t>
      </w:r>
      <w:r w:rsidRPr="005F7FF7">
        <w:rPr>
          <w:color w:val="000000" w:themeColor="text1"/>
        </w:rPr>
        <w:t>he distance between the input profile</w:t>
      </w:r>
      <w:r>
        <w:rPr>
          <w:color w:val="000000" w:themeColor="text1"/>
        </w:rPr>
        <w:t xml:space="preserve"> based </w:t>
      </w:r>
      <w:r w:rsidRPr="005F7FF7">
        <w:rPr>
          <w:color w:val="000000" w:themeColor="text1"/>
        </w:rPr>
        <w:t>and corresponding reference profile</w:t>
      </w:r>
      <w:r>
        <w:rPr>
          <w:color w:val="000000" w:themeColor="text1"/>
        </w:rPr>
        <w:t xml:space="preserve"> using T1000 list of genes</w:t>
      </w:r>
      <w:r w:rsidRPr="005F7FF7">
        <w:rPr>
          <w:color w:val="000000" w:themeColor="text1"/>
        </w:rPr>
        <w:t>.</w:t>
      </w:r>
      <w:r>
        <w:rPr>
          <w:color w:val="000000" w:themeColor="text1"/>
        </w:rPr>
        <w:t xml:space="preserve"> The profile classification computed using </w:t>
      </w:r>
      <w:proofErr w:type="spellStart"/>
      <w:r>
        <w:rPr>
          <w:color w:val="000000" w:themeColor="text1"/>
        </w:rPr>
        <w:t>DrugVsDisease</w:t>
      </w:r>
      <w:proofErr w:type="spellEnd"/>
      <w:r>
        <w:rPr>
          <w:color w:val="000000" w:themeColor="text1"/>
        </w:rPr>
        <w:t xml:space="preserve"> over the internal database for </w:t>
      </w:r>
      <w:r w:rsidRPr="005F7FF7">
        <w:rPr>
          <w:color w:val="000000" w:themeColor="text1"/>
        </w:rPr>
        <w:t>Asthma</w:t>
      </w:r>
      <w:r>
        <w:rPr>
          <w:color w:val="000000" w:themeColor="text1"/>
        </w:rPr>
        <w:t xml:space="preserve"> expression profiles, returned the listed significant influencing drugs. As summarized in the table, o</w:t>
      </w:r>
      <w:r w:rsidR="00E17553" w:rsidRPr="00F036C8">
        <w:rPr>
          <w:color w:val="000000" w:themeColor="text1"/>
        </w:rPr>
        <w:t xml:space="preserve">ut of </w:t>
      </w:r>
      <w:r>
        <w:rPr>
          <w:color w:val="000000" w:themeColor="text1"/>
        </w:rPr>
        <w:t xml:space="preserve">the </w:t>
      </w:r>
      <w:r w:rsidR="00E17553" w:rsidRPr="00F036C8">
        <w:rPr>
          <w:color w:val="000000" w:themeColor="text1"/>
        </w:rPr>
        <w:t xml:space="preserve">ten reported significant drugs, we see that 3 drugs (Zoxazolamine, Phenformin, </w:t>
      </w:r>
      <w:proofErr w:type="spellStart"/>
      <w:r w:rsidR="00E17553" w:rsidRPr="00F036C8">
        <w:rPr>
          <w:color w:val="000000" w:themeColor="text1"/>
        </w:rPr>
        <w:t>Cefoperazone</w:t>
      </w:r>
      <w:proofErr w:type="spellEnd"/>
      <w:r w:rsidR="00E17553" w:rsidRPr="00F036C8">
        <w:rPr>
          <w:color w:val="000000" w:themeColor="text1"/>
        </w:rPr>
        <w:t xml:space="preserve">) have been already withdrawn from specific markets due to toxicity reports. Phenformin was withdrawn since it was reported to be </w:t>
      </w:r>
      <w:proofErr w:type="spellStart"/>
      <w:r w:rsidR="00E17553" w:rsidRPr="00F036C8">
        <w:rPr>
          <w:color w:val="000000" w:themeColor="text1"/>
        </w:rPr>
        <w:t>hepatototoxic</w:t>
      </w:r>
      <w:proofErr w:type="spellEnd"/>
      <w:r w:rsidR="00E17553" w:rsidRPr="00F036C8">
        <w:rPr>
          <w:color w:val="000000" w:themeColor="text1"/>
        </w:rPr>
        <w:t>.</w:t>
      </w:r>
    </w:p>
    <w:p w14:paraId="5FAD0089" w14:textId="0AFA7000" w:rsidR="005F7FF7" w:rsidRDefault="005F7FF7" w:rsidP="005F7FF7">
      <w:pPr>
        <w:rPr>
          <w:color w:val="000000" w:themeColor="text1"/>
        </w:rPr>
      </w:pPr>
    </w:p>
    <w:p w14:paraId="2495B1CF" w14:textId="1DD31DF4" w:rsidR="005F7FF7" w:rsidRDefault="005F7FF7" w:rsidP="005F7FF7">
      <w:pPr>
        <w:rPr>
          <w:color w:val="000000" w:themeColor="text1"/>
        </w:rPr>
      </w:pPr>
      <w:r w:rsidRPr="005F7FF7">
        <w:rPr>
          <w:color w:val="000000" w:themeColor="text1"/>
        </w:rPr>
        <w:t>Reference</w:t>
      </w:r>
      <w:r>
        <w:rPr>
          <w:color w:val="000000" w:themeColor="text1"/>
        </w:rPr>
        <w:t>s</w:t>
      </w:r>
    </w:p>
    <w:p w14:paraId="5852D1E0" w14:textId="77777777" w:rsidR="00F570E0" w:rsidRDefault="00F570E0" w:rsidP="00E17553">
      <w:pPr>
        <w:rPr>
          <w:color w:val="000000" w:themeColor="text1"/>
        </w:rPr>
      </w:pPr>
    </w:p>
    <w:p w14:paraId="5F85F10C" w14:textId="77777777" w:rsidR="00F570E0" w:rsidRPr="00F570E0" w:rsidRDefault="00F570E0" w:rsidP="00F570E0">
      <w:pPr>
        <w:pStyle w:val="EndNoteBibliography"/>
        <w:ind w:left="720" w:hanging="720"/>
        <w:rPr>
          <w:noProof/>
        </w:rPr>
      </w:pPr>
      <w:r>
        <w:rPr>
          <w:color w:val="000000" w:themeColor="text1"/>
        </w:rPr>
        <w:fldChar w:fldCharType="begin"/>
      </w:r>
      <w:r>
        <w:rPr>
          <w:color w:val="000000" w:themeColor="text1"/>
        </w:rPr>
        <w:instrText xml:space="preserve"> ADDIN EN.REFLIST </w:instrText>
      </w:r>
      <w:r>
        <w:rPr>
          <w:color w:val="000000" w:themeColor="text1"/>
        </w:rPr>
        <w:fldChar w:fldCharType="separate"/>
      </w:r>
      <w:r w:rsidRPr="00F570E0">
        <w:rPr>
          <w:noProof/>
        </w:rPr>
        <w:t>Lamb J, Crawford ED, Peck D, Modell JW, Blat IC, Wrobel MJ, Lerner J, Brunet JP, Subramanian A, Ross KN, Reich M, Hieronymus H, Wei G, Armstrong SA, Haggarty SJ, Clemons PA, Wei R, Carr SA, Lander ES, and Golub TR. 2006. The Connectivity Map: using gene-expression signatures to connect small molecules, genes, and disease.</w:t>
      </w:r>
      <w:r w:rsidRPr="00F570E0">
        <w:rPr>
          <w:i/>
          <w:noProof/>
        </w:rPr>
        <w:t xml:space="preserve"> Science</w:t>
      </w:r>
      <w:r w:rsidRPr="00F570E0">
        <w:rPr>
          <w:noProof/>
        </w:rPr>
        <w:t xml:space="preserve"> 313:1929-1935. 10.1126/science.1132939</w:t>
      </w:r>
    </w:p>
    <w:p w14:paraId="2FFE210D" w14:textId="77777777" w:rsidR="00F570E0" w:rsidRPr="00F570E0" w:rsidRDefault="00F570E0" w:rsidP="00F570E0">
      <w:pPr>
        <w:pStyle w:val="EndNoteBibliography"/>
        <w:ind w:left="720" w:hanging="720"/>
        <w:rPr>
          <w:noProof/>
        </w:rPr>
      </w:pPr>
      <w:r w:rsidRPr="00F570E0">
        <w:rPr>
          <w:noProof/>
        </w:rPr>
        <w:t>Pacini C. 2013. DrugVsDisease: Comparison of disease and drug profiles using Gene set Enrichment Analysis.</w:t>
      </w:r>
      <w:r w:rsidRPr="00F570E0">
        <w:rPr>
          <w:i/>
          <w:noProof/>
        </w:rPr>
        <w:t xml:space="preserve"> Bioinformatics, R package version</w:t>
      </w:r>
      <w:r w:rsidRPr="00F570E0">
        <w:rPr>
          <w:noProof/>
        </w:rPr>
        <w:t xml:space="preserve"> 2. </w:t>
      </w:r>
    </w:p>
    <w:p w14:paraId="32C8EDE9" w14:textId="5060E355" w:rsidR="00312053" w:rsidRPr="00F036C8" w:rsidRDefault="00F570E0" w:rsidP="00F570E0">
      <w:pPr>
        <w:rPr>
          <w:color w:val="000000" w:themeColor="text1"/>
        </w:rPr>
      </w:pPr>
      <w:r>
        <w:rPr>
          <w:color w:val="000000" w:themeColor="text1"/>
        </w:rPr>
        <w:fldChar w:fldCharType="end"/>
      </w:r>
    </w:p>
    <w:sectPr w:rsidR="00312053" w:rsidRPr="00F036C8" w:rsidSect="0090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Peer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vva9aegrpt07evp2pprrwu90p59tsrdwts&quot;&gt;ToxMine_EndNote_Library&lt;record-ids&gt;&lt;item&gt;184&lt;/item&gt;&lt;item&gt;185&lt;/item&gt;&lt;/record-ids&gt;&lt;/item&gt;&lt;/Libraries&gt;"/>
  </w:docVars>
  <w:rsids>
    <w:rsidRoot w:val="00EE4EE7"/>
    <w:rsid w:val="00014F21"/>
    <w:rsid w:val="00032753"/>
    <w:rsid w:val="000340EE"/>
    <w:rsid w:val="00041504"/>
    <w:rsid w:val="00043A20"/>
    <w:rsid w:val="00043B60"/>
    <w:rsid w:val="00052831"/>
    <w:rsid w:val="0005487D"/>
    <w:rsid w:val="00062A7B"/>
    <w:rsid w:val="0008102B"/>
    <w:rsid w:val="00086B37"/>
    <w:rsid w:val="00091E2B"/>
    <w:rsid w:val="00094530"/>
    <w:rsid w:val="000A0EE3"/>
    <w:rsid w:val="000A3A7E"/>
    <w:rsid w:val="000B7A55"/>
    <w:rsid w:val="000D4325"/>
    <w:rsid w:val="000E2AA9"/>
    <w:rsid w:val="000F28BB"/>
    <w:rsid w:val="001120EF"/>
    <w:rsid w:val="00113AD4"/>
    <w:rsid w:val="001306D6"/>
    <w:rsid w:val="0013702D"/>
    <w:rsid w:val="00144AF3"/>
    <w:rsid w:val="001645CA"/>
    <w:rsid w:val="001752C9"/>
    <w:rsid w:val="00197329"/>
    <w:rsid w:val="001B0C05"/>
    <w:rsid w:val="001B5873"/>
    <w:rsid w:val="001C0437"/>
    <w:rsid w:val="001C1B31"/>
    <w:rsid w:val="001C369C"/>
    <w:rsid w:val="001C7CC9"/>
    <w:rsid w:val="001D2205"/>
    <w:rsid w:val="001D3EAD"/>
    <w:rsid w:val="001D69E3"/>
    <w:rsid w:val="001E69B1"/>
    <w:rsid w:val="002107FF"/>
    <w:rsid w:val="00222EED"/>
    <w:rsid w:val="002366BB"/>
    <w:rsid w:val="002376C4"/>
    <w:rsid w:val="00247CEA"/>
    <w:rsid w:val="00256F67"/>
    <w:rsid w:val="00273874"/>
    <w:rsid w:val="002769FF"/>
    <w:rsid w:val="00286935"/>
    <w:rsid w:val="002A2064"/>
    <w:rsid w:val="002A4E35"/>
    <w:rsid w:val="002B431D"/>
    <w:rsid w:val="002B7330"/>
    <w:rsid w:val="002D7EF0"/>
    <w:rsid w:val="002E00B8"/>
    <w:rsid w:val="002F064C"/>
    <w:rsid w:val="002F2114"/>
    <w:rsid w:val="00307124"/>
    <w:rsid w:val="00321FAA"/>
    <w:rsid w:val="00327E4A"/>
    <w:rsid w:val="003453D2"/>
    <w:rsid w:val="00350331"/>
    <w:rsid w:val="00353E70"/>
    <w:rsid w:val="00355040"/>
    <w:rsid w:val="00356C61"/>
    <w:rsid w:val="00360D2F"/>
    <w:rsid w:val="0036223D"/>
    <w:rsid w:val="00364AC9"/>
    <w:rsid w:val="00367A13"/>
    <w:rsid w:val="00380EEE"/>
    <w:rsid w:val="00384A4F"/>
    <w:rsid w:val="0038511D"/>
    <w:rsid w:val="003903AC"/>
    <w:rsid w:val="003935D6"/>
    <w:rsid w:val="00394740"/>
    <w:rsid w:val="003A7DDF"/>
    <w:rsid w:val="003C57EC"/>
    <w:rsid w:val="003D23EA"/>
    <w:rsid w:val="003D6599"/>
    <w:rsid w:val="003E10E6"/>
    <w:rsid w:val="004043F8"/>
    <w:rsid w:val="00407EEF"/>
    <w:rsid w:val="004109E1"/>
    <w:rsid w:val="004213AD"/>
    <w:rsid w:val="004311EA"/>
    <w:rsid w:val="00431E98"/>
    <w:rsid w:val="004422BE"/>
    <w:rsid w:val="004511E4"/>
    <w:rsid w:val="00460FD2"/>
    <w:rsid w:val="00471688"/>
    <w:rsid w:val="00482B12"/>
    <w:rsid w:val="004D0871"/>
    <w:rsid w:val="004F0DD6"/>
    <w:rsid w:val="004F6BD2"/>
    <w:rsid w:val="005126E8"/>
    <w:rsid w:val="0051408A"/>
    <w:rsid w:val="0052634D"/>
    <w:rsid w:val="00526EA5"/>
    <w:rsid w:val="00526F0C"/>
    <w:rsid w:val="005414E6"/>
    <w:rsid w:val="00565515"/>
    <w:rsid w:val="005847BA"/>
    <w:rsid w:val="00585FF9"/>
    <w:rsid w:val="0059574C"/>
    <w:rsid w:val="005A1774"/>
    <w:rsid w:val="005B41C3"/>
    <w:rsid w:val="005B4F0C"/>
    <w:rsid w:val="005C2C40"/>
    <w:rsid w:val="005D2D3C"/>
    <w:rsid w:val="005D69B1"/>
    <w:rsid w:val="005E0AA5"/>
    <w:rsid w:val="005E56B0"/>
    <w:rsid w:val="005E5D5B"/>
    <w:rsid w:val="005F267A"/>
    <w:rsid w:val="005F2DB2"/>
    <w:rsid w:val="005F5AB1"/>
    <w:rsid w:val="005F7FF7"/>
    <w:rsid w:val="006000BA"/>
    <w:rsid w:val="00607C0C"/>
    <w:rsid w:val="00607E50"/>
    <w:rsid w:val="00642141"/>
    <w:rsid w:val="00685D61"/>
    <w:rsid w:val="006C0CBB"/>
    <w:rsid w:val="006C3E3D"/>
    <w:rsid w:val="006D4AAF"/>
    <w:rsid w:val="006E2E52"/>
    <w:rsid w:val="006E787E"/>
    <w:rsid w:val="006F05FC"/>
    <w:rsid w:val="006F74C3"/>
    <w:rsid w:val="00702650"/>
    <w:rsid w:val="00713204"/>
    <w:rsid w:val="0071433D"/>
    <w:rsid w:val="00726605"/>
    <w:rsid w:val="00727396"/>
    <w:rsid w:val="00732F74"/>
    <w:rsid w:val="00733FD1"/>
    <w:rsid w:val="0073789B"/>
    <w:rsid w:val="00744273"/>
    <w:rsid w:val="007551D6"/>
    <w:rsid w:val="007619CE"/>
    <w:rsid w:val="007649E6"/>
    <w:rsid w:val="00772DE1"/>
    <w:rsid w:val="00791AB3"/>
    <w:rsid w:val="00793EFC"/>
    <w:rsid w:val="007A1691"/>
    <w:rsid w:val="007B5CB6"/>
    <w:rsid w:val="007B7632"/>
    <w:rsid w:val="007E6416"/>
    <w:rsid w:val="007E70A1"/>
    <w:rsid w:val="007F4CA3"/>
    <w:rsid w:val="00831085"/>
    <w:rsid w:val="008470A4"/>
    <w:rsid w:val="00850470"/>
    <w:rsid w:val="00867561"/>
    <w:rsid w:val="00870658"/>
    <w:rsid w:val="00877F15"/>
    <w:rsid w:val="008878F1"/>
    <w:rsid w:val="00895CFF"/>
    <w:rsid w:val="008A5D96"/>
    <w:rsid w:val="008B33F6"/>
    <w:rsid w:val="008C3F2E"/>
    <w:rsid w:val="008C59FD"/>
    <w:rsid w:val="008D71C9"/>
    <w:rsid w:val="008E0416"/>
    <w:rsid w:val="008E5067"/>
    <w:rsid w:val="008E7765"/>
    <w:rsid w:val="00906E60"/>
    <w:rsid w:val="00961BD5"/>
    <w:rsid w:val="00971B26"/>
    <w:rsid w:val="009755E5"/>
    <w:rsid w:val="00987B2B"/>
    <w:rsid w:val="00987C16"/>
    <w:rsid w:val="009904F8"/>
    <w:rsid w:val="009905FA"/>
    <w:rsid w:val="009971AB"/>
    <w:rsid w:val="009974C3"/>
    <w:rsid w:val="009C3564"/>
    <w:rsid w:val="009C574B"/>
    <w:rsid w:val="00A004BB"/>
    <w:rsid w:val="00A10999"/>
    <w:rsid w:val="00A13F80"/>
    <w:rsid w:val="00A2469F"/>
    <w:rsid w:val="00A24ACC"/>
    <w:rsid w:val="00A265A3"/>
    <w:rsid w:val="00A30650"/>
    <w:rsid w:val="00A33E1D"/>
    <w:rsid w:val="00A40952"/>
    <w:rsid w:val="00A42BD9"/>
    <w:rsid w:val="00A43B4E"/>
    <w:rsid w:val="00A5569F"/>
    <w:rsid w:val="00A60BA5"/>
    <w:rsid w:val="00A6249E"/>
    <w:rsid w:val="00A6627E"/>
    <w:rsid w:val="00A75398"/>
    <w:rsid w:val="00A804FE"/>
    <w:rsid w:val="00A947E7"/>
    <w:rsid w:val="00AA7D6F"/>
    <w:rsid w:val="00AC54D1"/>
    <w:rsid w:val="00AC7A0C"/>
    <w:rsid w:val="00AD058B"/>
    <w:rsid w:val="00AE5AC5"/>
    <w:rsid w:val="00AF27A1"/>
    <w:rsid w:val="00AF58F1"/>
    <w:rsid w:val="00B04673"/>
    <w:rsid w:val="00B155FE"/>
    <w:rsid w:val="00B20373"/>
    <w:rsid w:val="00B33425"/>
    <w:rsid w:val="00B33838"/>
    <w:rsid w:val="00B36198"/>
    <w:rsid w:val="00B4594A"/>
    <w:rsid w:val="00B83262"/>
    <w:rsid w:val="00B90B82"/>
    <w:rsid w:val="00B95D35"/>
    <w:rsid w:val="00BA538B"/>
    <w:rsid w:val="00BA7947"/>
    <w:rsid w:val="00BA7B3C"/>
    <w:rsid w:val="00BB2DBE"/>
    <w:rsid w:val="00BB5031"/>
    <w:rsid w:val="00BC278B"/>
    <w:rsid w:val="00BC4E9F"/>
    <w:rsid w:val="00BC67D9"/>
    <w:rsid w:val="00BE28B6"/>
    <w:rsid w:val="00BE36B5"/>
    <w:rsid w:val="00BE5236"/>
    <w:rsid w:val="00C06393"/>
    <w:rsid w:val="00C065D7"/>
    <w:rsid w:val="00C25566"/>
    <w:rsid w:val="00C35BF2"/>
    <w:rsid w:val="00C54479"/>
    <w:rsid w:val="00C83ADA"/>
    <w:rsid w:val="00CA1561"/>
    <w:rsid w:val="00CA2910"/>
    <w:rsid w:val="00CA443B"/>
    <w:rsid w:val="00CB56FA"/>
    <w:rsid w:val="00CD6445"/>
    <w:rsid w:val="00CE67FA"/>
    <w:rsid w:val="00D05CC6"/>
    <w:rsid w:val="00D241ED"/>
    <w:rsid w:val="00D66912"/>
    <w:rsid w:val="00D736E7"/>
    <w:rsid w:val="00D77498"/>
    <w:rsid w:val="00D77733"/>
    <w:rsid w:val="00D87875"/>
    <w:rsid w:val="00D9205D"/>
    <w:rsid w:val="00D95F65"/>
    <w:rsid w:val="00DB01D3"/>
    <w:rsid w:val="00DB228E"/>
    <w:rsid w:val="00DC0DF2"/>
    <w:rsid w:val="00DC43B5"/>
    <w:rsid w:val="00DC564D"/>
    <w:rsid w:val="00DE75E5"/>
    <w:rsid w:val="00E134DA"/>
    <w:rsid w:val="00E17553"/>
    <w:rsid w:val="00E17DB5"/>
    <w:rsid w:val="00E20765"/>
    <w:rsid w:val="00E2611B"/>
    <w:rsid w:val="00E35BD1"/>
    <w:rsid w:val="00E47230"/>
    <w:rsid w:val="00E635EF"/>
    <w:rsid w:val="00E637DD"/>
    <w:rsid w:val="00E96706"/>
    <w:rsid w:val="00EA57C7"/>
    <w:rsid w:val="00EB5D99"/>
    <w:rsid w:val="00EC1717"/>
    <w:rsid w:val="00EC1F3D"/>
    <w:rsid w:val="00ED1F2E"/>
    <w:rsid w:val="00EE4EE7"/>
    <w:rsid w:val="00EF130C"/>
    <w:rsid w:val="00F005ED"/>
    <w:rsid w:val="00F01187"/>
    <w:rsid w:val="00F02209"/>
    <w:rsid w:val="00F036C8"/>
    <w:rsid w:val="00F047E5"/>
    <w:rsid w:val="00F20B9D"/>
    <w:rsid w:val="00F55E9D"/>
    <w:rsid w:val="00F570E0"/>
    <w:rsid w:val="00F84FCE"/>
    <w:rsid w:val="00F85A09"/>
    <w:rsid w:val="00F90CC8"/>
    <w:rsid w:val="00FA32B2"/>
    <w:rsid w:val="00FA3678"/>
    <w:rsid w:val="00FB09E1"/>
    <w:rsid w:val="00FB13F5"/>
    <w:rsid w:val="00FB4B60"/>
    <w:rsid w:val="00FC29FC"/>
    <w:rsid w:val="00FC2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FCBE6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EE7"/>
    <w:rPr>
      <w:rFonts w:ascii="Times New Roman" w:eastAsia="Times New Roman" w:hAnsi="Times New Roman" w:cs="Times New Roman"/>
    </w:rPr>
  </w:style>
  <w:style w:type="paragraph" w:styleId="Heading1">
    <w:name w:val="heading 1"/>
    <w:basedOn w:val="Normal"/>
    <w:next w:val="Normal"/>
    <w:link w:val="Heading1Char"/>
    <w:qFormat/>
    <w:rsid w:val="00EE4EE7"/>
    <w:pPr>
      <w:keepNext/>
      <w:spacing w:before="240" w:after="60" w:line="360" w:lineRule="auto"/>
      <w:jc w:val="both"/>
      <w:outlineLvl w:val="0"/>
    </w:pPr>
    <w:rPr>
      <w:rFonts w:eastAsiaTheme="majorEastAsia" w:cstheme="majorBid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E7"/>
    <w:rPr>
      <w:rFonts w:ascii="Times New Roman" w:eastAsiaTheme="majorEastAsia" w:hAnsi="Times New Roman" w:cstheme="majorBidi"/>
      <w:b/>
      <w:bCs/>
      <w:kern w:val="32"/>
      <w:sz w:val="40"/>
      <w:szCs w:val="32"/>
    </w:rPr>
  </w:style>
  <w:style w:type="paragraph" w:styleId="Caption">
    <w:name w:val="caption"/>
    <w:basedOn w:val="Normal"/>
    <w:next w:val="Normal"/>
    <w:uiPriority w:val="35"/>
    <w:unhideWhenUsed/>
    <w:qFormat/>
    <w:rsid w:val="00EE4EE7"/>
    <w:pPr>
      <w:spacing w:after="200"/>
    </w:pPr>
    <w:rPr>
      <w:i/>
      <w:iCs/>
      <w:color w:val="44546A" w:themeColor="text2"/>
      <w:sz w:val="18"/>
      <w:szCs w:val="18"/>
    </w:rPr>
  </w:style>
  <w:style w:type="table" w:styleId="TableGrid">
    <w:name w:val="Table Grid"/>
    <w:basedOn w:val="TableNormal"/>
    <w:uiPriority w:val="39"/>
    <w:rsid w:val="00E17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0BA"/>
    <w:rPr>
      <w:sz w:val="18"/>
      <w:szCs w:val="18"/>
    </w:rPr>
  </w:style>
  <w:style w:type="character" w:customStyle="1" w:styleId="BalloonTextChar">
    <w:name w:val="Balloon Text Char"/>
    <w:basedOn w:val="DefaultParagraphFont"/>
    <w:link w:val="BalloonText"/>
    <w:uiPriority w:val="99"/>
    <w:semiHidden/>
    <w:rsid w:val="006000BA"/>
    <w:rPr>
      <w:rFonts w:ascii="Times New Roman" w:eastAsia="Times New Roman" w:hAnsi="Times New Roman" w:cs="Times New Roman"/>
      <w:sz w:val="18"/>
      <w:szCs w:val="18"/>
    </w:rPr>
  </w:style>
  <w:style w:type="paragraph" w:customStyle="1" w:styleId="EndNoteBibliographyTitle">
    <w:name w:val="EndNote Bibliography Title"/>
    <w:basedOn w:val="Normal"/>
    <w:link w:val="EndNoteBibliographyTitleChar"/>
    <w:rsid w:val="00F570E0"/>
    <w:pPr>
      <w:jc w:val="center"/>
    </w:pPr>
  </w:style>
  <w:style w:type="character" w:customStyle="1" w:styleId="EndNoteBibliographyTitleChar">
    <w:name w:val="EndNote Bibliography Title Char"/>
    <w:basedOn w:val="DefaultParagraphFont"/>
    <w:link w:val="EndNoteBibliographyTitle"/>
    <w:rsid w:val="00F570E0"/>
    <w:rPr>
      <w:rFonts w:ascii="Times New Roman" w:eastAsia="Times New Roman" w:hAnsi="Times New Roman" w:cs="Times New Roman"/>
    </w:rPr>
  </w:style>
  <w:style w:type="paragraph" w:customStyle="1" w:styleId="EndNoteBibliography">
    <w:name w:val="EndNote Bibliography"/>
    <w:basedOn w:val="Normal"/>
    <w:link w:val="EndNoteBibliographyChar"/>
    <w:rsid w:val="00F570E0"/>
  </w:style>
  <w:style w:type="character" w:customStyle="1" w:styleId="EndNoteBibliographyChar">
    <w:name w:val="EndNote Bibliography Char"/>
    <w:basedOn w:val="DefaultParagraphFont"/>
    <w:link w:val="EndNoteBibliography"/>
    <w:rsid w:val="00F570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chem.ncbi.nlm.nih.gov/compound/epinephrine" TargetMode="External"/><Relationship Id="rId4" Type="http://schemas.openxmlformats.org/officeDocument/2006/relationships/hyperlink" Target="https://en.wikipedia.org/wiki/List_of_withdrawn_dr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Soufan</dc:creator>
  <cp:keywords/>
  <dc:description/>
  <cp:lastModifiedBy>Othman Soufan</cp:lastModifiedBy>
  <cp:revision>8</cp:revision>
  <dcterms:created xsi:type="dcterms:W3CDTF">2019-08-07T20:06:00Z</dcterms:created>
  <dcterms:modified xsi:type="dcterms:W3CDTF">2019-09-01T02:19:00Z</dcterms:modified>
</cp:coreProperties>
</file>