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6186" w14:textId="25A364E2" w:rsidR="00461DCE" w:rsidRPr="009A0F39" w:rsidRDefault="00461DCE" w:rsidP="009A0F39">
      <w:pPr>
        <w:rPr>
          <w:rFonts w:ascii="Times New Roman" w:eastAsia="Times New Roman" w:hAnsi="Times New Roman" w:cs="Times New Roman"/>
          <w:lang w:eastAsia="zh-CN"/>
        </w:rPr>
      </w:pPr>
      <w:r w:rsidRPr="00461DCE">
        <w:rPr>
          <w:rFonts w:ascii="Times New Roman" w:hAnsi="Times New Roman" w:cs="Times New Roman"/>
          <w:b/>
          <w:bCs/>
          <w:sz w:val="20"/>
          <w:szCs w:val="20"/>
        </w:rPr>
        <w:t xml:space="preserve">Table S5. </w:t>
      </w:r>
      <w:r w:rsidRPr="00461DCE">
        <w:rPr>
          <w:rFonts w:ascii="Times New Roman" w:eastAsia="Times New Roman" w:hAnsi="Times New Roman" w:cs="Times New Roman"/>
          <w:b/>
          <w:bCs/>
          <w:color w:val="333333"/>
          <w:sz w:val="20"/>
          <w:szCs w:val="20"/>
          <w:lang w:eastAsia="zh-CN"/>
        </w:rPr>
        <w:t>Effects of healing rate, Symbiodiniaceae density, and growth rate on microbial community alpha diversity metrics</w:t>
      </w:r>
      <w:r w:rsidRPr="00277C03">
        <w:rPr>
          <w:rFonts w:ascii="Times New Roman" w:eastAsia="Times New Roman" w:hAnsi="Times New Roman" w:cs="Times New Roman"/>
          <w:b/>
          <w:bCs/>
          <w:color w:val="333333"/>
          <w:sz w:val="20"/>
          <w:szCs w:val="20"/>
          <w:lang w:eastAsia="zh-CN"/>
        </w:rPr>
        <w:t>.</w:t>
      </w:r>
      <w:r w:rsidR="00277C03" w:rsidRPr="00277C03">
        <w:rPr>
          <w:rFonts w:ascii="Times New Roman" w:hAnsi="Times New Roman" w:cs="Times New Roman"/>
          <w:color w:val="333333"/>
          <w:sz w:val="20"/>
          <w:szCs w:val="20"/>
        </w:rPr>
        <w:t xml:space="preserve"> </w:t>
      </w:r>
      <w:r w:rsidR="00277C03" w:rsidRPr="00277C03">
        <w:rPr>
          <w:rFonts w:ascii="Times New Roman" w:eastAsia="Times New Roman" w:hAnsi="Times New Roman" w:cs="Times New Roman"/>
          <w:color w:val="333333"/>
          <w:sz w:val="20"/>
          <w:szCs w:val="20"/>
          <w:lang w:eastAsia="zh-CN"/>
        </w:rPr>
        <w:t xml:space="preserve">Alpha diversity metrics (Chao1 index, Simpson’s index, Faith’s phylogenetic diversity) were regressed against host measurements using LMMs with host measurement (growth rate, healing rate, and Symbiodiniaceae density) as the fixed effect and tank and parent colony as random effects. Chao1 and Faith's PD were log-transformed, while Simpson's Index was arcsine-transformed to improve normality. P-values were approximated with the </w:t>
      </w:r>
      <w:proofErr w:type="spellStart"/>
      <w:r w:rsidR="00277C03" w:rsidRPr="00277C03">
        <w:rPr>
          <w:rFonts w:ascii="Times New Roman" w:eastAsia="Times New Roman" w:hAnsi="Times New Roman" w:cs="Times New Roman"/>
          <w:color w:val="333333"/>
          <w:sz w:val="20"/>
          <w:szCs w:val="20"/>
          <w:lang w:eastAsia="zh-CN"/>
        </w:rPr>
        <w:t>lmerTest</w:t>
      </w:r>
      <w:proofErr w:type="spellEnd"/>
      <w:r w:rsidR="00277C03" w:rsidRPr="00277C03">
        <w:rPr>
          <w:rFonts w:ascii="Times New Roman" w:eastAsia="Times New Roman" w:hAnsi="Times New Roman" w:cs="Times New Roman"/>
          <w:color w:val="333333"/>
          <w:sz w:val="20"/>
          <w:szCs w:val="20"/>
          <w:lang w:eastAsia="zh-CN"/>
        </w:rPr>
        <w:t xml:space="preserve"> package in R.</w:t>
      </w:r>
      <w:bookmarkStart w:id="0" w:name="_GoBack"/>
      <w:bookmarkEnd w:id="0"/>
    </w:p>
    <w:p w14:paraId="4117378F" w14:textId="77777777" w:rsidR="00461DCE" w:rsidRPr="00461DCE" w:rsidRDefault="00461DCE">
      <w:pPr>
        <w:rPr>
          <w:rFonts w:ascii="Times New Roman" w:hAnsi="Times New Roman" w:cs="Times New Roman"/>
          <w:b/>
          <w:bCs/>
          <w:sz w:val="20"/>
          <w:szCs w:val="20"/>
        </w:rPr>
      </w:pPr>
    </w:p>
    <w:tbl>
      <w:tblPr>
        <w:tblStyle w:val="4"/>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80"/>
        <w:gridCol w:w="2438"/>
        <w:gridCol w:w="958"/>
        <w:gridCol w:w="1045"/>
        <w:gridCol w:w="1013"/>
        <w:gridCol w:w="1013"/>
        <w:gridCol w:w="1013"/>
      </w:tblGrid>
      <w:tr w:rsidR="00766C52" w:rsidRPr="00257B73" w14:paraId="26989E8F" w14:textId="77777777" w:rsidTr="00FC112C">
        <w:trPr>
          <w:trHeight w:val="288"/>
        </w:trPr>
        <w:tc>
          <w:tcPr>
            <w:tcW w:w="1880" w:type="dxa"/>
            <w:tcBorders>
              <w:top w:val="single" w:sz="4" w:space="0" w:color="auto"/>
              <w:left w:val="nil"/>
              <w:bottom w:val="double" w:sz="4" w:space="0" w:color="auto"/>
              <w:right w:val="nil"/>
            </w:tcBorders>
            <w:tcMar>
              <w:top w:w="100" w:type="dxa"/>
              <w:left w:w="100" w:type="dxa"/>
              <w:bottom w:w="100" w:type="dxa"/>
              <w:right w:w="100" w:type="dxa"/>
            </w:tcMar>
            <w:vAlign w:val="center"/>
          </w:tcPr>
          <w:p w14:paraId="6C81A4BB"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b/>
                <w:sz w:val="20"/>
                <w:szCs w:val="20"/>
              </w:rPr>
            </w:pPr>
            <w:r w:rsidRPr="00257B73">
              <w:rPr>
                <w:rFonts w:ascii="Times New Roman" w:hAnsi="Times New Roman" w:cs="Times New Roman"/>
                <w:b/>
                <w:sz w:val="20"/>
                <w:szCs w:val="20"/>
              </w:rPr>
              <w:t>Alpha diversity measure</w:t>
            </w:r>
          </w:p>
        </w:tc>
        <w:tc>
          <w:tcPr>
            <w:tcW w:w="2438" w:type="dxa"/>
            <w:tcBorders>
              <w:top w:val="single" w:sz="4" w:space="0" w:color="auto"/>
              <w:left w:val="nil"/>
              <w:bottom w:val="double" w:sz="4" w:space="0" w:color="auto"/>
              <w:right w:val="nil"/>
            </w:tcBorders>
            <w:tcMar>
              <w:top w:w="100" w:type="dxa"/>
              <w:left w:w="100" w:type="dxa"/>
              <w:bottom w:w="100" w:type="dxa"/>
              <w:right w:w="100" w:type="dxa"/>
            </w:tcMar>
            <w:vAlign w:val="center"/>
          </w:tcPr>
          <w:p w14:paraId="449985C1"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b/>
                <w:sz w:val="20"/>
                <w:szCs w:val="20"/>
              </w:rPr>
            </w:pPr>
            <w:r w:rsidRPr="00257B73">
              <w:rPr>
                <w:rFonts w:ascii="Times New Roman" w:hAnsi="Times New Roman" w:cs="Times New Roman"/>
                <w:b/>
                <w:sz w:val="20"/>
                <w:szCs w:val="20"/>
              </w:rPr>
              <w:t>Measurements</w:t>
            </w:r>
          </w:p>
        </w:tc>
        <w:tc>
          <w:tcPr>
            <w:tcW w:w="958" w:type="dxa"/>
            <w:tcBorders>
              <w:top w:val="single" w:sz="4" w:space="0" w:color="auto"/>
              <w:left w:val="nil"/>
              <w:bottom w:val="double" w:sz="4" w:space="0" w:color="auto"/>
              <w:right w:val="nil"/>
            </w:tcBorders>
            <w:tcMar>
              <w:top w:w="100" w:type="dxa"/>
              <w:left w:w="100" w:type="dxa"/>
              <w:bottom w:w="100" w:type="dxa"/>
              <w:right w:w="100" w:type="dxa"/>
            </w:tcMar>
            <w:vAlign w:val="center"/>
          </w:tcPr>
          <w:p w14:paraId="50AD25A3"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b/>
                <w:i/>
                <w:sz w:val="20"/>
                <w:szCs w:val="20"/>
              </w:rPr>
            </w:pPr>
            <w:r w:rsidRPr="00257B73">
              <w:rPr>
                <w:rFonts w:ascii="Times New Roman" w:hAnsi="Times New Roman" w:cs="Times New Roman"/>
                <w:b/>
                <w:i/>
                <w:sz w:val="20"/>
                <w:szCs w:val="20"/>
              </w:rPr>
              <w:sym w:font="Symbol" w:char="F062"/>
            </w:r>
          </w:p>
        </w:tc>
        <w:tc>
          <w:tcPr>
            <w:tcW w:w="1045" w:type="dxa"/>
            <w:tcBorders>
              <w:top w:val="single" w:sz="4" w:space="0" w:color="auto"/>
              <w:left w:val="nil"/>
              <w:bottom w:val="double" w:sz="4" w:space="0" w:color="auto"/>
              <w:right w:val="nil"/>
            </w:tcBorders>
            <w:tcMar>
              <w:top w:w="100" w:type="dxa"/>
              <w:left w:w="100" w:type="dxa"/>
              <w:bottom w:w="100" w:type="dxa"/>
              <w:right w:w="100" w:type="dxa"/>
            </w:tcMar>
            <w:vAlign w:val="center"/>
          </w:tcPr>
          <w:p w14:paraId="1D89C6F8"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b/>
                <w:sz w:val="20"/>
                <w:szCs w:val="20"/>
              </w:rPr>
            </w:pPr>
            <w:r w:rsidRPr="00257B73">
              <w:rPr>
                <w:rFonts w:ascii="Times New Roman" w:hAnsi="Times New Roman" w:cs="Times New Roman"/>
                <w:b/>
                <w:sz w:val="20"/>
                <w:szCs w:val="20"/>
              </w:rPr>
              <w:t>SE</w:t>
            </w:r>
          </w:p>
        </w:tc>
        <w:tc>
          <w:tcPr>
            <w:tcW w:w="1013" w:type="dxa"/>
            <w:tcBorders>
              <w:top w:val="single" w:sz="4" w:space="0" w:color="auto"/>
              <w:left w:val="nil"/>
              <w:bottom w:val="double" w:sz="4" w:space="0" w:color="auto"/>
              <w:right w:val="nil"/>
            </w:tcBorders>
            <w:tcMar>
              <w:top w:w="100" w:type="dxa"/>
              <w:left w:w="100" w:type="dxa"/>
              <w:bottom w:w="100" w:type="dxa"/>
              <w:right w:w="100" w:type="dxa"/>
            </w:tcMar>
            <w:vAlign w:val="center"/>
          </w:tcPr>
          <w:p w14:paraId="49A2C906"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b/>
                <w:i/>
                <w:sz w:val="20"/>
                <w:szCs w:val="20"/>
              </w:rPr>
            </w:pPr>
            <w:r w:rsidRPr="00257B73">
              <w:rPr>
                <w:rFonts w:ascii="Times New Roman" w:hAnsi="Times New Roman" w:cs="Times New Roman"/>
                <w:b/>
                <w:i/>
                <w:sz w:val="20"/>
                <w:szCs w:val="20"/>
              </w:rPr>
              <w:t>df</w:t>
            </w:r>
          </w:p>
        </w:tc>
        <w:tc>
          <w:tcPr>
            <w:tcW w:w="1013" w:type="dxa"/>
            <w:tcBorders>
              <w:top w:val="single" w:sz="4" w:space="0" w:color="auto"/>
              <w:left w:val="nil"/>
              <w:bottom w:val="double" w:sz="4" w:space="0" w:color="auto"/>
              <w:right w:val="nil"/>
            </w:tcBorders>
            <w:tcMar>
              <w:top w:w="100" w:type="dxa"/>
              <w:left w:w="100" w:type="dxa"/>
              <w:bottom w:w="100" w:type="dxa"/>
              <w:right w:w="100" w:type="dxa"/>
            </w:tcMar>
            <w:vAlign w:val="center"/>
          </w:tcPr>
          <w:p w14:paraId="0506B61D"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b/>
                <w:sz w:val="20"/>
                <w:szCs w:val="20"/>
              </w:rPr>
            </w:pPr>
            <w:r w:rsidRPr="00257B73">
              <w:rPr>
                <w:rFonts w:ascii="Times New Roman" w:hAnsi="Times New Roman" w:cs="Times New Roman"/>
                <w:b/>
                <w:i/>
                <w:sz w:val="20"/>
                <w:szCs w:val="20"/>
              </w:rPr>
              <w:t>t</w:t>
            </w:r>
          </w:p>
        </w:tc>
        <w:tc>
          <w:tcPr>
            <w:tcW w:w="1013" w:type="dxa"/>
            <w:tcBorders>
              <w:top w:val="single" w:sz="4" w:space="0" w:color="auto"/>
              <w:left w:val="nil"/>
              <w:bottom w:val="double" w:sz="4" w:space="0" w:color="auto"/>
              <w:right w:val="nil"/>
            </w:tcBorders>
            <w:tcMar>
              <w:top w:w="100" w:type="dxa"/>
              <w:left w:w="100" w:type="dxa"/>
              <w:bottom w:w="100" w:type="dxa"/>
              <w:right w:w="100" w:type="dxa"/>
            </w:tcMar>
            <w:vAlign w:val="center"/>
          </w:tcPr>
          <w:p w14:paraId="6D851C39"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b/>
                <w:i/>
                <w:sz w:val="20"/>
                <w:szCs w:val="20"/>
              </w:rPr>
            </w:pPr>
            <w:r w:rsidRPr="00257B73">
              <w:rPr>
                <w:rFonts w:ascii="Times New Roman" w:hAnsi="Times New Roman" w:cs="Times New Roman"/>
                <w:b/>
                <w:i/>
                <w:sz w:val="20"/>
                <w:szCs w:val="20"/>
              </w:rPr>
              <w:t>P</w:t>
            </w:r>
          </w:p>
        </w:tc>
      </w:tr>
      <w:tr w:rsidR="00766C52" w:rsidRPr="00257B73" w14:paraId="049B0284" w14:textId="77777777" w:rsidTr="00FC112C">
        <w:trPr>
          <w:trHeight w:val="288"/>
        </w:trPr>
        <w:tc>
          <w:tcPr>
            <w:tcW w:w="1880" w:type="dxa"/>
            <w:tcBorders>
              <w:top w:val="double" w:sz="4" w:space="0" w:color="auto"/>
              <w:left w:val="nil"/>
              <w:bottom w:val="nil"/>
              <w:right w:val="nil"/>
            </w:tcBorders>
            <w:tcMar>
              <w:top w:w="100" w:type="dxa"/>
              <w:left w:w="100" w:type="dxa"/>
              <w:bottom w:w="100" w:type="dxa"/>
              <w:right w:w="100" w:type="dxa"/>
            </w:tcMar>
            <w:vAlign w:val="center"/>
          </w:tcPr>
          <w:p w14:paraId="4807A47F"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r w:rsidRPr="00257B73">
              <w:rPr>
                <w:rFonts w:ascii="Times New Roman" w:hAnsi="Times New Roman" w:cs="Times New Roman"/>
                <w:b/>
                <w:sz w:val="20"/>
                <w:szCs w:val="20"/>
              </w:rPr>
              <w:t>Chao1 index</w:t>
            </w:r>
          </w:p>
        </w:tc>
        <w:tc>
          <w:tcPr>
            <w:tcW w:w="2438" w:type="dxa"/>
            <w:tcBorders>
              <w:top w:val="double" w:sz="4" w:space="0" w:color="auto"/>
            </w:tcBorders>
            <w:tcMar>
              <w:top w:w="100" w:type="dxa"/>
              <w:left w:w="100" w:type="dxa"/>
              <w:bottom w:w="100" w:type="dxa"/>
              <w:right w:w="100" w:type="dxa"/>
            </w:tcMar>
            <w:vAlign w:val="center"/>
          </w:tcPr>
          <w:p w14:paraId="683E8017"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sz w:val="20"/>
                <w:szCs w:val="20"/>
              </w:rPr>
              <w:t>Healing rate</w:t>
            </w:r>
          </w:p>
        </w:tc>
        <w:tc>
          <w:tcPr>
            <w:tcW w:w="958" w:type="dxa"/>
            <w:tcBorders>
              <w:top w:val="double" w:sz="4" w:space="0" w:color="auto"/>
            </w:tcBorders>
            <w:tcMar>
              <w:top w:w="100" w:type="dxa"/>
              <w:left w:w="100" w:type="dxa"/>
              <w:bottom w:w="100" w:type="dxa"/>
              <w:right w:w="100" w:type="dxa"/>
            </w:tcMar>
            <w:vAlign w:val="center"/>
          </w:tcPr>
          <w:p w14:paraId="40C4D809"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-0.152</w:t>
            </w:r>
          </w:p>
        </w:tc>
        <w:tc>
          <w:tcPr>
            <w:tcW w:w="1045" w:type="dxa"/>
            <w:tcBorders>
              <w:top w:val="double" w:sz="4" w:space="0" w:color="auto"/>
            </w:tcBorders>
            <w:tcMar>
              <w:top w:w="100" w:type="dxa"/>
              <w:left w:w="100" w:type="dxa"/>
              <w:bottom w:w="100" w:type="dxa"/>
              <w:right w:w="100" w:type="dxa"/>
            </w:tcMar>
            <w:vAlign w:val="center"/>
          </w:tcPr>
          <w:p w14:paraId="5AA09767"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0.203</w:t>
            </w:r>
          </w:p>
        </w:tc>
        <w:tc>
          <w:tcPr>
            <w:tcW w:w="1013" w:type="dxa"/>
            <w:tcBorders>
              <w:top w:val="double" w:sz="4" w:space="0" w:color="auto"/>
            </w:tcBorders>
            <w:tcMar>
              <w:top w:w="100" w:type="dxa"/>
              <w:left w:w="100" w:type="dxa"/>
              <w:bottom w:w="100" w:type="dxa"/>
              <w:right w:w="100" w:type="dxa"/>
            </w:tcMar>
            <w:vAlign w:val="center"/>
          </w:tcPr>
          <w:p w14:paraId="5DDD24DB"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23.794</w:t>
            </w:r>
          </w:p>
        </w:tc>
        <w:tc>
          <w:tcPr>
            <w:tcW w:w="1013" w:type="dxa"/>
            <w:tcBorders>
              <w:top w:val="double" w:sz="4" w:space="0" w:color="auto"/>
            </w:tcBorders>
            <w:tcMar>
              <w:top w:w="100" w:type="dxa"/>
              <w:left w:w="100" w:type="dxa"/>
              <w:bottom w:w="100" w:type="dxa"/>
              <w:right w:w="100" w:type="dxa"/>
            </w:tcMar>
            <w:vAlign w:val="center"/>
          </w:tcPr>
          <w:p w14:paraId="07DBC89E"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-0.748</w:t>
            </w:r>
          </w:p>
        </w:tc>
        <w:tc>
          <w:tcPr>
            <w:tcW w:w="1013" w:type="dxa"/>
            <w:tcBorders>
              <w:top w:val="double" w:sz="4" w:space="0" w:color="auto"/>
            </w:tcBorders>
            <w:tcMar>
              <w:top w:w="100" w:type="dxa"/>
              <w:left w:w="100" w:type="dxa"/>
              <w:bottom w:w="100" w:type="dxa"/>
              <w:right w:w="100" w:type="dxa"/>
            </w:tcMar>
            <w:vAlign w:val="center"/>
          </w:tcPr>
          <w:p w14:paraId="15AC0DD3"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0.462</w:t>
            </w:r>
          </w:p>
        </w:tc>
      </w:tr>
      <w:tr w:rsidR="00766C52" w:rsidRPr="00257B73" w14:paraId="10AE616E" w14:textId="77777777" w:rsidTr="00FC112C">
        <w:trPr>
          <w:trHeight w:val="288"/>
        </w:trPr>
        <w:tc>
          <w:tcPr>
            <w:tcW w:w="1880" w:type="dxa"/>
            <w:tcBorders>
              <w:top w:val="nil"/>
              <w:left w:val="nil"/>
              <w:bottom w:val="nil"/>
              <w:right w:val="nil"/>
            </w:tcBorders>
            <w:tcMar>
              <w:top w:w="100" w:type="dxa"/>
              <w:left w:w="100" w:type="dxa"/>
              <w:bottom w:w="100" w:type="dxa"/>
              <w:right w:w="100" w:type="dxa"/>
            </w:tcMar>
            <w:vAlign w:val="center"/>
          </w:tcPr>
          <w:p w14:paraId="49BC3188"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p>
        </w:tc>
        <w:tc>
          <w:tcPr>
            <w:tcW w:w="2438" w:type="dxa"/>
            <w:tcMar>
              <w:top w:w="100" w:type="dxa"/>
              <w:left w:w="100" w:type="dxa"/>
              <w:bottom w:w="100" w:type="dxa"/>
              <w:right w:w="100" w:type="dxa"/>
            </w:tcMar>
            <w:vAlign w:val="center"/>
          </w:tcPr>
          <w:p w14:paraId="53C5155B"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i/>
                <w:sz w:val="20"/>
                <w:szCs w:val="20"/>
              </w:rPr>
              <w:t>Symbiodiniaceae</w:t>
            </w:r>
            <w:r w:rsidRPr="00257B73">
              <w:rPr>
                <w:rFonts w:ascii="Times New Roman" w:hAnsi="Times New Roman" w:cs="Times New Roman"/>
                <w:sz w:val="20"/>
                <w:szCs w:val="20"/>
              </w:rPr>
              <w:t xml:space="preserve"> density</w:t>
            </w:r>
          </w:p>
        </w:tc>
        <w:tc>
          <w:tcPr>
            <w:tcW w:w="958" w:type="dxa"/>
            <w:tcMar>
              <w:top w:w="100" w:type="dxa"/>
              <w:left w:w="100" w:type="dxa"/>
              <w:bottom w:w="100" w:type="dxa"/>
              <w:right w:w="100" w:type="dxa"/>
            </w:tcMar>
            <w:vAlign w:val="center"/>
          </w:tcPr>
          <w:p w14:paraId="4AD133ED"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-0.721</w:t>
            </w:r>
          </w:p>
        </w:tc>
        <w:tc>
          <w:tcPr>
            <w:tcW w:w="1045" w:type="dxa"/>
            <w:tcMar>
              <w:top w:w="100" w:type="dxa"/>
              <w:left w:w="100" w:type="dxa"/>
              <w:bottom w:w="100" w:type="dxa"/>
              <w:right w:w="100" w:type="dxa"/>
            </w:tcMar>
            <w:vAlign w:val="center"/>
          </w:tcPr>
          <w:p w14:paraId="56C1EC34"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0.862</w:t>
            </w:r>
          </w:p>
        </w:tc>
        <w:tc>
          <w:tcPr>
            <w:tcW w:w="1013" w:type="dxa"/>
            <w:tcMar>
              <w:top w:w="100" w:type="dxa"/>
              <w:left w:w="100" w:type="dxa"/>
              <w:bottom w:w="100" w:type="dxa"/>
              <w:right w:w="100" w:type="dxa"/>
            </w:tcMar>
            <w:vAlign w:val="center"/>
          </w:tcPr>
          <w:p w14:paraId="688F7050"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55.783</w:t>
            </w:r>
          </w:p>
        </w:tc>
        <w:tc>
          <w:tcPr>
            <w:tcW w:w="1013" w:type="dxa"/>
            <w:tcMar>
              <w:top w:w="100" w:type="dxa"/>
              <w:left w:w="100" w:type="dxa"/>
              <w:bottom w:w="100" w:type="dxa"/>
              <w:right w:w="100" w:type="dxa"/>
            </w:tcMar>
            <w:vAlign w:val="center"/>
          </w:tcPr>
          <w:p w14:paraId="61D49CB4"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-0.836</w:t>
            </w:r>
          </w:p>
        </w:tc>
        <w:tc>
          <w:tcPr>
            <w:tcW w:w="1013" w:type="dxa"/>
            <w:tcMar>
              <w:top w:w="100" w:type="dxa"/>
              <w:left w:w="100" w:type="dxa"/>
              <w:bottom w:w="100" w:type="dxa"/>
              <w:right w:w="100" w:type="dxa"/>
            </w:tcMar>
            <w:vAlign w:val="center"/>
          </w:tcPr>
          <w:p w14:paraId="348C97F5"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0.407</w:t>
            </w:r>
          </w:p>
        </w:tc>
      </w:tr>
      <w:tr w:rsidR="00766C52" w:rsidRPr="00257B73" w14:paraId="53731366" w14:textId="77777777" w:rsidTr="00FC112C">
        <w:trPr>
          <w:trHeight w:val="288"/>
        </w:trPr>
        <w:tc>
          <w:tcPr>
            <w:tcW w:w="1880" w:type="dxa"/>
            <w:tcBorders>
              <w:top w:val="nil"/>
              <w:left w:val="nil"/>
              <w:bottom w:val="single" w:sz="4" w:space="0" w:color="auto"/>
              <w:right w:val="nil"/>
            </w:tcBorders>
            <w:tcMar>
              <w:top w:w="100" w:type="dxa"/>
              <w:left w:w="100" w:type="dxa"/>
              <w:bottom w:w="100" w:type="dxa"/>
              <w:right w:w="100" w:type="dxa"/>
            </w:tcMar>
            <w:vAlign w:val="center"/>
          </w:tcPr>
          <w:p w14:paraId="0CDC811F"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p>
        </w:tc>
        <w:tc>
          <w:tcPr>
            <w:tcW w:w="2438" w:type="dxa"/>
            <w:tcBorders>
              <w:bottom w:val="single" w:sz="4" w:space="0" w:color="auto"/>
            </w:tcBorders>
            <w:tcMar>
              <w:top w:w="100" w:type="dxa"/>
              <w:left w:w="100" w:type="dxa"/>
              <w:bottom w:w="100" w:type="dxa"/>
              <w:right w:w="100" w:type="dxa"/>
            </w:tcMar>
            <w:vAlign w:val="center"/>
          </w:tcPr>
          <w:p w14:paraId="025232AB"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sz w:val="20"/>
                <w:szCs w:val="20"/>
              </w:rPr>
              <w:t>Growth rate</w:t>
            </w:r>
          </w:p>
        </w:tc>
        <w:tc>
          <w:tcPr>
            <w:tcW w:w="958" w:type="dxa"/>
            <w:tcBorders>
              <w:bottom w:val="single" w:sz="4" w:space="0" w:color="auto"/>
            </w:tcBorders>
            <w:tcMar>
              <w:top w:w="100" w:type="dxa"/>
              <w:left w:w="100" w:type="dxa"/>
              <w:bottom w:w="100" w:type="dxa"/>
              <w:right w:w="100" w:type="dxa"/>
            </w:tcMar>
            <w:vAlign w:val="center"/>
          </w:tcPr>
          <w:p w14:paraId="266E8AA3"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0.008</w:t>
            </w:r>
          </w:p>
        </w:tc>
        <w:tc>
          <w:tcPr>
            <w:tcW w:w="1045" w:type="dxa"/>
            <w:tcBorders>
              <w:bottom w:val="single" w:sz="4" w:space="0" w:color="auto"/>
            </w:tcBorders>
            <w:tcMar>
              <w:top w:w="100" w:type="dxa"/>
              <w:left w:w="100" w:type="dxa"/>
              <w:bottom w:w="100" w:type="dxa"/>
              <w:right w:w="100" w:type="dxa"/>
            </w:tcMar>
            <w:vAlign w:val="center"/>
          </w:tcPr>
          <w:p w14:paraId="79C951C0"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0.004</w:t>
            </w:r>
          </w:p>
        </w:tc>
        <w:tc>
          <w:tcPr>
            <w:tcW w:w="1013" w:type="dxa"/>
            <w:tcBorders>
              <w:bottom w:val="single" w:sz="4" w:space="0" w:color="auto"/>
            </w:tcBorders>
            <w:tcMar>
              <w:top w:w="100" w:type="dxa"/>
              <w:left w:w="100" w:type="dxa"/>
              <w:bottom w:w="100" w:type="dxa"/>
              <w:right w:w="100" w:type="dxa"/>
            </w:tcMar>
            <w:vAlign w:val="center"/>
          </w:tcPr>
          <w:p w14:paraId="3B522EFB"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53.525</w:t>
            </w:r>
          </w:p>
        </w:tc>
        <w:tc>
          <w:tcPr>
            <w:tcW w:w="1013" w:type="dxa"/>
            <w:tcBorders>
              <w:bottom w:val="single" w:sz="4" w:space="0" w:color="auto"/>
            </w:tcBorders>
            <w:tcMar>
              <w:top w:w="100" w:type="dxa"/>
              <w:left w:w="100" w:type="dxa"/>
              <w:bottom w:w="100" w:type="dxa"/>
              <w:right w:w="100" w:type="dxa"/>
            </w:tcMar>
            <w:vAlign w:val="center"/>
          </w:tcPr>
          <w:p w14:paraId="5AE13351"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1.991</w:t>
            </w:r>
          </w:p>
        </w:tc>
        <w:tc>
          <w:tcPr>
            <w:tcW w:w="1013" w:type="dxa"/>
            <w:tcBorders>
              <w:bottom w:val="single" w:sz="4" w:space="0" w:color="auto"/>
            </w:tcBorders>
            <w:tcMar>
              <w:top w:w="100" w:type="dxa"/>
              <w:left w:w="100" w:type="dxa"/>
              <w:bottom w:w="100" w:type="dxa"/>
              <w:right w:w="100" w:type="dxa"/>
            </w:tcMar>
            <w:vAlign w:val="center"/>
          </w:tcPr>
          <w:p w14:paraId="0C7A85FE"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0.051</w:t>
            </w:r>
          </w:p>
        </w:tc>
      </w:tr>
      <w:tr w:rsidR="00766C52" w:rsidRPr="00257B73" w14:paraId="39456045" w14:textId="77777777" w:rsidTr="00FC112C">
        <w:trPr>
          <w:trHeight w:val="288"/>
        </w:trPr>
        <w:tc>
          <w:tcPr>
            <w:tcW w:w="1880" w:type="dxa"/>
            <w:vMerge w:val="restart"/>
            <w:tcBorders>
              <w:top w:val="single" w:sz="4" w:space="0" w:color="auto"/>
              <w:left w:val="nil"/>
              <w:right w:val="nil"/>
            </w:tcBorders>
            <w:tcMar>
              <w:top w:w="100" w:type="dxa"/>
              <w:left w:w="100" w:type="dxa"/>
              <w:bottom w:w="100" w:type="dxa"/>
              <w:right w:w="100" w:type="dxa"/>
            </w:tcMar>
            <w:vAlign w:val="center"/>
          </w:tcPr>
          <w:p w14:paraId="00BC1DC1"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r w:rsidRPr="00257B73">
              <w:rPr>
                <w:rFonts w:ascii="Times New Roman" w:hAnsi="Times New Roman" w:cs="Times New Roman"/>
                <w:b/>
                <w:sz w:val="20"/>
                <w:szCs w:val="20"/>
              </w:rPr>
              <w:t>Simpson’s diversity</w:t>
            </w:r>
          </w:p>
        </w:tc>
        <w:tc>
          <w:tcPr>
            <w:tcW w:w="2438" w:type="dxa"/>
            <w:tcBorders>
              <w:top w:val="single" w:sz="4" w:space="0" w:color="auto"/>
            </w:tcBorders>
            <w:tcMar>
              <w:top w:w="100" w:type="dxa"/>
              <w:left w:w="100" w:type="dxa"/>
              <w:bottom w:w="100" w:type="dxa"/>
              <w:right w:w="100" w:type="dxa"/>
            </w:tcMar>
            <w:vAlign w:val="center"/>
          </w:tcPr>
          <w:p w14:paraId="4BCE2597"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sz w:val="20"/>
                <w:szCs w:val="20"/>
              </w:rPr>
              <w:t>Healing rate</w:t>
            </w:r>
          </w:p>
        </w:tc>
        <w:tc>
          <w:tcPr>
            <w:tcW w:w="958" w:type="dxa"/>
            <w:tcBorders>
              <w:top w:val="single" w:sz="4" w:space="0" w:color="auto"/>
            </w:tcBorders>
            <w:tcMar>
              <w:top w:w="100" w:type="dxa"/>
              <w:left w:w="100" w:type="dxa"/>
              <w:bottom w:w="100" w:type="dxa"/>
              <w:right w:w="100" w:type="dxa"/>
            </w:tcMar>
            <w:vAlign w:val="center"/>
          </w:tcPr>
          <w:p w14:paraId="3E84FFB4"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0.016</w:t>
            </w:r>
          </w:p>
        </w:tc>
        <w:tc>
          <w:tcPr>
            <w:tcW w:w="1045" w:type="dxa"/>
            <w:tcBorders>
              <w:top w:val="single" w:sz="4" w:space="0" w:color="auto"/>
            </w:tcBorders>
            <w:tcMar>
              <w:top w:w="100" w:type="dxa"/>
              <w:left w:w="100" w:type="dxa"/>
              <w:bottom w:w="100" w:type="dxa"/>
              <w:right w:w="100" w:type="dxa"/>
            </w:tcMar>
            <w:vAlign w:val="center"/>
          </w:tcPr>
          <w:p w14:paraId="0F526646"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0.088</w:t>
            </w:r>
          </w:p>
        </w:tc>
        <w:tc>
          <w:tcPr>
            <w:tcW w:w="1013" w:type="dxa"/>
            <w:tcBorders>
              <w:top w:val="single" w:sz="4" w:space="0" w:color="auto"/>
            </w:tcBorders>
            <w:tcMar>
              <w:top w:w="100" w:type="dxa"/>
              <w:left w:w="100" w:type="dxa"/>
              <w:bottom w:w="100" w:type="dxa"/>
              <w:right w:w="100" w:type="dxa"/>
            </w:tcMar>
            <w:vAlign w:val="center"/>
          </w:tcPr>
          <w:p w14:paraId="672A42A6"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24.901</w:t>
            </w:r>
          </w:p>
        </w:tc>
        <w:tc>
          <w:tcPr>
            <w:tcW w:w="1013" w:type="dxa"/>
            <w:tcBorders>
              <w:top w:val="single" w:sz="4" w:space="0" w:color="auto"/>
            </w:tcBorders>
            <w:tcMar>
              <w:top w:w="100" w:type="dxa"/>
              <w:left w:w="100" w:type="dxa"/>
              <w:bottom w:w="100" w:type="dxa"/>
              <w:right w:w="100" w:type="dxa"/>
            </w:tcMar>
            <w:vAlign w:val="center"/>
          </w:tcPr>
          <w:p w14:paraId="5B4BD57C"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0.179</w:t>
            </w:r>
          </w:p>
        </w:tc>
        <w:tc>
          <w:tcPr>
            <w:tcW w:w="1013" w:type="dxa"/>
            <w:tcBorders>
              <w:top w:val="single" w:sz="4" w:space="0" w:color="auto"/>
            </w:tcBorders>
            <w:tcMar>
              <w:top w:w="100" w:type="dxa"/>
              <w:left w:w="100" w:type="dxa"/>
              <w:bottom w:w="100" w:type="dxa"/>
              <w:right w:w="100" w:type="dxa"/>
            </w:tcMar>
            <w:vAlign w:val="center"/>
          </w:tcPr>
          <w:p w14:paraId="0749E791"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0.859</w:t>
            </w:r>
          </w:p>
        </w:tc>
      </w:tr>
      <w:tr w:rsidR="00766C52" w:rsidRPr="00257B73" w14:paraId="37E904BF" w14:textId="77777777" w:rsidTr="00FC112C">
        <w:trPr>
          <w:trHeight w:val="288"/>
        </w:trPr>
        <w:tc>
          <w:tcPr>
            <w:tcW w:w="1880" w:type="dxa"/>
            <w:vMerge/>
            <w:tcBorders>
              <w:left w:val="nil"/>
              <w:bottom w:val="nil"/>
              <w:right w:val="nil"/>
            </w:tcBorders>
            <w:tcMar>
              <w:top w:w="100" w:type="dxa"/>
              <w:left w:w="100" w:type="dxa"/>
              <w:bottom w:w="100" w:type="dxa"/>
              <w:right w:w="100" w:type="dxa"/>
            </w:tcMar>
            <w:vAlign w:val="center"/>
          </w:tcPr>
          <w:p w14:paraId="358B128E"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p>
        </w:tc>
        <w:tc>
          <w:tcPr>
            <w:tcW w:w="2438" w:type="dxa"/>
            <w:tcMar>
              <w:top w:w="100" w:type="dxa"/>
              <w:left w:w="100" w:type="dxa"/>
              <w:bottom w:w="100" w:type="dxa"/>
              <w:right w:w="100" w:type="dxa"/>
            </w:tcMar>
            <w:vAlign w:val="center"/>
          </w:tcPr>
          <w:p w14:paraId="3353A31C"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i/>
                <w:sz w:val="20"/>
                <w:szCs w:val="20"/>
              </w:rPr>
              <w:t>Symbiodiniaceae</w:t>
            </w:r>
            <w:r w:rsidRPr="00257B73">
              <w:rPr>
                <w:rFonts w:ascii="Times New Roman" w:hAnsi="Times New Roman" w:cs="Times New Roman"/>
                <w:sz w:val="20"/>
                <w:szCs w:val="20"/>
              </w:rPr>
              <w:t xml:space="preserve"> density</w:t>
            </w:r>
          </w:p>
        </w:tc>
        <w:tc>
          <w:tcPr>
            <w:tcW w:w="958" w:type="dxa"/>
            <w:tcMar>
              <w:top w:w="100" w:type="dxa"/>
              <w:left w:w="100" w:type="dxa"/>
              <w:bottom w:w="100" w:type="dxa"/>
              <w:right w:w="100" w:type="dxa"/>
            </w:tcMar>
            <w:vAlign w:val="center"/>
          </w:tcPr>
          <w:p w14:paraId="2AA534A0"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-0.375</w:t>
            </w:r>
          </w:p>
        </w:tc>
        <w:tc>
          <w:tcPr>
            <w:tcW w:w="1045" w:type="dxa"/>
            <w:tcMar>
              <w:top w:w="100" w:type="dxa"/>
              <w:left w:w="100" w:type="dxa"/>
              <w:bottom w:w="100" w:type="dxa"/>
              <w:right w:w="100" w:type="dxa"/>
            </w:tcMar>
            <w:vAlign w:val="center"/>
          </w:tcPr>
          <w:p w14:paraId="1EE0B498"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0.413</w:t>
            </w:r>
          </w:p>
        </w:tc>
        <w:tc>
          <w:tcPr>
            <w:tcW w:w="1013" w:type="dxa"/>
            <w:tcMar>
              <w:top w:w="100" w:type="dxa"/>
              <w:left w:w="100" w:type="dxa"/>
              <w:bottom w:w="100" w:type="dxa"/>
              <w:right w:w="100" w:type="dxa"/>
            </w:tcMar>
            <w:vAlign w:val="center"/>
          </w:tcPr>
          <w:p w14:paraId="2D7CF639"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58.000</w:t>
            </w:r>
          </w:p>
        </w:tc>
        <w:tc>
          <w:tcPr>
            <w:tcW w:w="1013" w:type="dxa"/>
            <w:tcMar>
              <w:top w:w="100" w:type="dxa"/>
              <w:left w:w="100" w:type="dxa"/>
              <w:bottom w:w="100" w:type="dxa"/>
              <w:right w:w="100" w:type="dxa"/>
            </w:tcMar>
            <w:vAlign w:val="center"/>
          </w:tcPr>
          <w:p w14:paraId="2DFEBBBB"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-0.907</w:t>
            </w:r>
          </w:p>
        </w:tc>
        <w:tc>
          <w:tcPr>
            <w:tcW w:w="1013" w:type="dxa"/>
            <w:tcMar>
              <w:top w:w="100" w:type="dxa"/>
              <w:left w:w="100" w:type="dxa"/>
              <w:bottom w:w="100" w:type="dxa"/>
              <w:right w:w="100" w:type="dxa"/>
            </w:tcMar>
            <w:vAlign w:val="center"/>
          </w:tcPr>
          <w:p w14:paraId="2074B24D"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0.368</w:t>
            </w:r>
          </w:p>
        </w:tc>
      </w:tr>
      <w:tr w:rsidR="00766C52" w:rsidRPr="00257B73" w14:paraId="2E1B09E8" w14:textId="77777777" w:rsidTr="00FC112C">
        <w:trPr>
          <w:trHeight w:val="288"/>
        </w:trPr>
        <w:tc>
          <w:tcPr>
            <w:tcW w:w="1880" w:type="dxa"/>
            <w:tcBorders>
              <w:top w:val="nil"/>
              <w:left w:val="nil"/>
              <w:bottom w:val="single" w:sz="4" w:space="0" w:color="auto"/>
              <w:right w:val="nil"/>
            </w:tcBorders>
            <w:tcMar>
              <w:top w:w="100" w:type="dxa"/>
              <w:left w:w="100" w:type="dxa"/>
              <w:bottom w:w="100" w:type="dxa"/>
              <w:right w:w="100" w:type="dxa"/>
            </w:tcMar>
            <w:vAlign w:val="center"/>
          </w:tcPr>
          <w:p w14:paraId="0167E5E3"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p>
        </w:tc>
        <w:tc>
          <w:tcPr>
            <w:tcW w:w="2438" w:type="dxa"/>
            <w:tcBorders>
              <w:bottom w:val="single" w:sz="4" w:space="0" w:color="auto"/>
            </w:tcBorders>
            <w:tcMar>
              <w:top w:w="100" w:type="dxa"/>
              <w:left w:w="100" w:type="dxa"/>
              <w:bottom w:w="100" w:type="dxa"/>
              <w:right w:w="100" w:type="dxa"/>
            </w:tcMar>
            <w:vAlign w:val="center"/>
          </w:tcPr>
          <w:p w14:paraId="09EAE86B"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sz w:val="20"/>
                <w:szCs w:val="20"/>
              </w:rPr>
              <w:t>Growth rate</w:t>
            </w:r>
          </w:p>
        </w:tc>
        <w:tc>
          <w:tcPr>
            <w:tcW w:w="958" w:type="dxa"/>
            <w:tcBorders>
              <w:bottom w:val="single" w:sz="4" w:space="0" w:color="auto"/>
            </w:tcBorders>
            <w:tcMar>
              <w:top w:w="100" w:type="dxa"/>
              <w:left w:w="100" w:type="dxa"/>
              <w:bottom w:w="100" w:type="dxa"/>
              <w:right w:w="100" w:type="dxa"/>
            </w:tcMar>
            <w:vAlign w:val="center"/>
          </w:tcPr>
          <w:p w14:paraId="13E31822"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0.0008</w:t>
            </w:r>
          </w:p>
        </w:tc>
        <w:tc>
          <w:tcPr>
            <w:tcW w:w="1045" w:type="dxa"/>
            <w:tcBorders>
              <w:bottom w:val="single" w:sz="4" w:space="0" w:color="auto"/>
            </w:tcBorders>
            <w:tcMar>
              <w:top w:w="100" w:type="dxa"/>
              <w:left w:w="100" w:type="dxa"/>
              <w:bottom w:w="100" w:type="dxa"/>
              <w:right w:w="100" w:type="dxa"/>
            </w:tcMar>
            <w:vAlign w:val="center"/>
          </w:tcPr>
          <w:p w14:paraId="0A21855E"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0.002</w:t>
            </w:r>
          </w:p>
        </w:tc>
        <w:tc>
          <w:tcPr>
            <w:tcW w:w="1013" w:type="dxa"/>
            <w:tcBorders>
              <w:bottom w:val="single" w:sz="4" w:space="0" w:color="auto"/>
            </w:tcBorders>
            <w:tcMar>
              <w:top w:w="100" w:type="dxa"/>
              <w:left w:w="100" w:type="dxa"/>
              <w:bottom w:w="100" w:type="dxa"/>
              <w:right w:w="100" w:type="dxa"/>
            </w:tcMar>
            <w:vAlign w:val="center"/>
          </w:tcPr>
          <w:p w14:paraId="43061B09"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57.464</w:t>
            </w:r>
          </w:p>
        </w:tc>
        <w:tc>
          <w:tcPr>
            <w:tcW w:w="1013" w:type="dxa"/>
            <w:tcBorders>
              <w:bottom w:val="single" w:sz="4" w:space="0" w:color="auto"/>
            </w:tcBorders>
            <w:tcMar>
              <w:top w:w="100" w:type="dxa"/>
              <w:left w:w="100" w:type="dxa"/>
              <w:bottom w:w="100" w:type="dxa"/>
              <w:right w:w="100" w:type="dxa"/>
            </w:tcMar>
            <w:vAlign w:val="center"/>
          </w:tcPr>
          <w:p w14:paraId="5C480D16"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0.385</w:t>
            </w:r>
          </w:p>
        </w:tc>
        <w:tc>
          <w:tcPr>
            <w:tcW w:w="1013" w:type="dxa"/>
            <w:tcBorders>
              <w:bottom w:val="single" w:sz="4" w:space="0" w:color="auto"/>
            </w:tcBorders>
            <w:tcMar>
              <w:top w:w="100" w:type="dxa"/>
              <w:left w:w="100" w:type="dxa"/>
              <w:bottom w:w="100" w:type="dxa"/>
              <w:right w:w="100" w:type="dxa"/>
            </w:tcMar>
            <w:vAlign w:val="center"/>
          </w:tcPr>
          <w:p w14:paraId="532ADADC"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0.702</w:t>
            </w:r>
          </w:p>
        </w:tc>
      </w:tr>
      <w:tr w:rsidR="00766C52" w:rsidRPr="00257B73" w14:paraId="7F02F438" w14:textId="77777777" w:rsidTr="00FC112C">
        <w:trPr>
          <w:trHeight w:val="288"/>
        </w:trPr>
        <w:tc>
          <w:tcPr>
            <w:tcW w:w="1880" w:type="dxa"/>
            <w:vMerge w:val="restart"/>
            <w:tcBorders>
              <w:top w:val="single" w:sz="4" w:space="0" w:color="auto"/>
              <w:left w:val="nil"/>
              <w:right w:val="nil"/>
            </w:tcBorders>
            <w:tcMar>
              <w:top w:w="100" w:type="dxa"/>
              <w:left w:w="100" w:type="dxa"/>
              <w:bottom w:w="100" w:type="dxa"/>
              <w:right w:w="100" w:type="dxa"/>
            </w:tcMar>
            <w:vAlign w:val="center"/>
          </w:tcPr>
          <w:p w14:paraId="5E57D6E8"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r w:rsidRPr="00257B73">
              <w:rPr>
                <w:rFonts w:ascii="Times New Roman" w:hAnsi="Times New Roman" w:cs="Times New Roman"/>
                <w:b/>
                <w:sz w:val="20"/>
                <w:szCs w:val="20"/>
              </w:rPr>
              <w:t>Faith’s phylogenetic diversity</w:t>
            </w:r>
          </w:p>
        </w:tc>
        <w:tc>
          <w:tcPr>
            <w:tcW w:w="2438" w:type="dxa"/>
            <w:tcBorders>
              <w:top w:val="single" w:sz="4" w:space="0" w:color="auto"/>
            </w:tcBorders>
            <w:tcMar>
              <w:top w:w="100" w:type="dxa"/>
              <w:left w:w="100" w:type="dxa"/>
              <w:bottom w:w="100" w:type="dxa"/>
              <w:right w:w="100" w:type="dxa"/>
            </w:tcMar>
            <w:vAlign w:val="center"/>
          </w:tcPr>
          <w:p w14:paraId="6ADC6303"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sz w:val="20"/>
                <w:szCs w:val="20"/>
              </w:rPr>
              <w:t>Healing rate</w:t>
            </w:r>
          </w:p>
        </w:tc>
        <w:tc>
          <w:tcPr>
            <w:tcW w:w="958" w:type="dxa"/>
            <w:tcBorders>
              <w:top w:val="single" w:sz="4" w:space="0" w:color="auto"/>
            </w:tcBorders>
            <w:tcMar>
              <w:top w:w="100" w:type="dxa"/>
              <w:left w:w="100" w:type="dxa"/>
              <w:bottom w:w="100" w:type="dxa"/>
              <w:right w:w="100" w:type="dxa"/>
            </w:tcMar>
            <w:vAlign w:val="center"/>
          </w:tcPr>
          <w:p w14:paraId="23CF570A"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-0.235</w:t>
            </w:r>
          </w:p>
        </w:tc>
        <w:tc>
          <w:tcPr>
            <w:tcW w:w="1045" w:type="dxa"/>
            <w:tcBorders>
              <w:top w:val="single" w:sz="4" w:space="0" w:color="auto"/>
            </w:tcBorders>
            <w:tcMar>
              <w:top w:w="100" w:type="dxa"/>
              <w:left w:w="100" w:type="dxa"/>
              <w:bottom w:w="100" w:type="dxa"/>
              <w:right w:w="100" w:type="dxa"/>
            </w:tcMar>
            <w:vAlign w:val="center"/>
          </w:tcPr>
          <w:p w14:paraId="644AD24D"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0.158</w:t>
            </w:r>
          </w:p>
        </w:tc>
        <w:tc>
          <w:tcPr>
            <w:tcW w:w="1013" w:type="dxa"/>
            <w:tcBorders>
              <w:top w:val="single" w:sz="4" w:space="0" w:color="auto"/>
            </w:tcBorders>
            <w:tcMar>
              <w:top w:w="100" w:type="dxa"/>
              <w:left w:w="100" w:type="dxa"/>
              <w:bottom w:w="100" w:type="dxa"/>
              <w:right w:w="100" w:type="dxa"/>
            </w:tcMar>
            <w:vAlign w:val="center"/>
          </w:tcPr>
          <w:p w14:paraId="2572D29A"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25.000</w:t>
            </w:r>
          </w:p>
        </w:tc>
        <w:tc>
          <w:tcPr>
            <w:tcW w:w="1013" w:type="dxa"/>
            <w:tcBorders>
              <w:top w:val="single" w:sz="4" w:space="0" w:color="auto"/>
            </w:tcBorders>
            <w:tcMar>
              <w:top w:w="100" w:type="dxa"/>
              <w:left w:w="100" w:type="dxa"/>
              <w:bottom w:w="100" w:type="dxa"/>
              <w:right w:w="100" w:type="dxa"/>
            </w:tcMar>
            <w:vAlign w:val="center"/>
          </w:tcPr>
          <w:p w14:paraId="410636BC"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-1.484</w:t>
            </w:r>
          </w:p>
        </w:tc>
        <w:tc>
          <w:tcPr>
            <w:tcW w:w="1013" w:type="dxa"/>
            <w:tcBorders>
              <w:top w:val="single" w:sz="4" w:space="0" w:color="auto"/>
            </w:tcBorders>
            <w:tcMar>
              <w:top w:w="100" w:type="dxa"/>
              <w:left w:w="100" w:type="dxa"/>
              <w:bottom w:w="100" w:type="dxa"/>
              <w:right w:w="100" w:type="dxa"/>
            </w:tcMar>
            <w:vAlign w:val="center"/>
          </w:tcPr>
          <w:p w14:paraId="266EAD81"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0.150</w:t>
            </w:r>
          </w:p>
        </w:tc>
      </w:tr>
      <w:tr w:rsidR="00766C52" w:rsidRPr="00257B73" w14:paraId="0ED69981" w14:textId="77777777" w:rsidTr="00FC112C">
        <w:trPr>
          <w:trHeight w:val="288"/>
        </w:trPr>
        <w:tc>
          <w:tcPr>
            <w:tcW w:w="1880" w:type="dxa"/>
            <w:vMerge/>
            <w:tcBorders>
              <w:left w:val="nil"/>
              <w:right w:val="nil"/>
            </w:tcBorders>
            <w:tcMar>
              <w:top w:w="100" w:type="dxa"/>
              <w:left w:w="100" w:type="dxa"/>
              <w:bottom w:w="100" w:type="dxa"/>
              <w:right w:w="100" w:type="dxa"/>
            </w:tcMar>
            <w:vAlign w:val="center"/>
          </w:tcPr>
          <w:p w14:paraId="2F5FF7B0"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p>
        </w:tc>
        <w:tc>
          <w:tcPr>
            <w:tcW w:w="2438" w:type="dxa"/>
            <w:tcMar>
              <w:top w:w="100" w:type="dxa"/>
              <w:left w:w="100" w:type="dxa"/>
              <w:bottom w:w="100" w:type="dxa"/>
              <w:right w:w="100" w:type="dxa"/>
            </w:tcMar>
            <w:vAlign w:val="center"/>
          </w:tcPr>
          <w:p w14:paraId="0FADF1C8"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i/>
                <w:sz w:val="20"/>
                <w:szCs w:val="20"/>
              </w:rPr>
              <w:t>Symbiodiniaceae</w:t>
            </w:r>
            <w:r w:rsidRPr="00257B73">
              <w:rPr>
                <w:rFonts w:ascii="Times New Roman" w:hAnsi="Times New Roman" w:cs="Times New Roman"/>
                <w:sz w:val="20"/>
                <w:szCs w:val="20"/>
              </w:rPr>
              <w:t xml:space="preserve"> density</w:t>
            </w:r>
          </w:p>
        </w:tc>
        <w:tc>
          <w:tcPr>
            <w:tcW w:w="958" w:type="dxa"/>
            <w:tcMar>
              <w:top w:w="100" w:type="dxa"/>
              <w:left w:w="100" w:type="dxa"/>
              <w:bottom w:w="100" w:type="dxa"/>
              <w:right w:w="100" w:type="dxa"/>
            </w:tcMar>
            <w:vAlign w:val="center"/>
          </w:tcPr>
          <w:p w14:paraId="1F214D24"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-0.828</w:t>
            </w:r>
          </w:p>
        </w:tc>
        <w:tc>
          <w:tcPr>
            <w:tcW w:w="1045" w:type="dxa"/>
            <w:tcMar>
              <w:top w:w="100" w:type="dxa"/>
              <w:left w:w="100" w:type="dxa"/>
              <w:bottom w:w="100" w:type="dxa"/>
              <w:right w:w="100" w:type="dxa"/>
            </w:tcMar>
            <w:vAlign w:val="center"/>
          </w:tcPr>
          <w:p w14:paraId="5B991C7E"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0.693</w:t>
            </w:r>
          </w:p>
        </w:tc>
        <w:tc>
          <w:tcPr>
            <w:tcW w:w="1013" w:type="dxa"/>
            <w:tcMar>
              <w:top w:w="100" w:type="dxa"/>
              <w:left w:w="100" w:type="dxa"/>
              <w:bottom w:w="100" w:type="dxa"/>
              <w:right w:w="100" w:type="dxa"/>
            </w:tcMar>
            <w:vAlign w:val="center"/>
          </w:tcPr>
          <w:p w14:paraId="1BE6F361"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49.518</w:t>
            </w:r>
          </w:p>
        </w:tc>
        <w:tc>
          <w:tcPr>
            <w:tcW w:w="1013" w:type="dxa"/>
            <w:tcMar>
              <w:top w:w="100" w:type="dxa"/>
              <w:left w:w="100" w:type="dxa"/>
              <w:bottom w:w="100" w:type="dxa"/>
              <w:right w:w="100" w:type="dxa"/>
            </w:tcMar>
            <w:vAlign w:val="center"/>
          </w:tcPr>
          <w:p w14:paraId="06138F68"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-1.194</w:t>
            </w:r>
          </w:p>
        </w:tc>
        <w:tc>
          <w:tcPr>
            <w:tcW w:w="1013" w:type="dxa"/>
            <w:tcMar>
              <w:top w:w="100" w:type="dxa"/>
              <w:left w:w="100" w:type="dxa"/>
              <w:bottom w:w="100" w:type="dxa"/>
              <w:right w:w="100" w:type="dxa"/>
            </w:tcMar>
            <w:vAlign w:val="center"/>
          </w:tcPr>
          <w:p w14:paraId="377140FA"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0.238</w:t>
            </w:r>
          </w:p>
        </w:tc>
      </w:tr>
      <w:tr w:rsidR="00766C52" w:rsidRPr="00257B73" w14:paraId="5A2B41CB" w14:textId="77777777" w:rsidTr="00FC112C">
        <w:trPr>
          <w:trHeight w:val="288"/>
        </w:trPr>
        <w:tc>
          <w:tcPr>
            <w:tcW w:w="1880" w:type="dxa"/>
            <w:vMerge/>
            <w:tcBorders>
              <w:left w:val="nil"/>
              <w:bottom w:val="single" w:sz="4" w:space="0" w:color="auto"/>
              <w:right w:val="nil"/>
            </w:tcBorders>
            <w:tcMar>
              <w:top w:w="100" w:type="dxa"/>
              <w:left w:w="100" w:type="dxa"/>
              <w:bottom w:w="100" w:type="dxa"/>
              <w:right w:w="100" w:type="dxa"/>
            </w:tcMar>
            <w:vAlign w:val="center"/>
          </w:tcPr>
          <w:p w14:paraId="59CBA5CE"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b/>
                <w:sz w:val="20"/>
                <w:szCs w:val="20"/>
              </w:rPr>
            </w:pPr>
          </w:p>
        </w:tc>
        <w:tc>
          <w:tcPr>
            <w:tcW w:w="2438" w:type="dxa"/>
            <w:tcBorders>
              <w:bottom w:val="single" w:sz="4" w:space="0" w:color="auto"/>
            </w:tcBorders>
            <w:tcMar>
              <w:top w:w="100" w:type="dxa"/>
              <w:left w:w="100" w:type="dxa"/>
              <w:bottom w:w="100" w:type="dxa"/>
              <w:right w:w="100" w:type="dxa"/>
            </w:tcMar>
            <w:vAlign w:val="center"/>
          </w:tcPr>
          <w:p w14:paraId="74A4B5A9" w14:textId="77777777" w:rsidR="00766C52" w:rsidRPr="00257B73" w:rsidRDefault="00766C52" w:rsidP="00FC112C">
            <w:pPr>
              <w:widowControl w:val="0"/>
              <w:pBdr>
                <w:top w:val="nil"/>
                <w:left w:val="nil"/>
                <w:bottom w:val="nil"/>
                <w:right w:val="nil"/>
                <w:between w:val="nil"/>
              </w:pBdr>
              <w:spacing w:after="240"/>
              <w:contextualSpacing/>
              <w:rPr>
                <w:rFonts w:ascii="Times New Roman" w:hAnsi="Times New Roman" w:cs="Times New Roman"/>
                <w:sz w:val="20"/>
                <w:szCs w:val="20"/>
              </w:rPr>
            </w:pPr>
            <w:r w:rsidRPr="00257B73">
              <w:rPr>
                <w:rFonts w:ascii="Times New Roman" w:hAnsi="Times New Roman" w:cs="Times New Roman"/>
                <w:sz w:val="20"/>
                <w:szCs w:val="20"/>
              </w:rPr>
              <w:t>Growth rate</w:t>
            </w:r>
          </w:p>
        </w:tc>
        <w:tc>
          <w:tcPr>
            <w:tcW w:w="958" w:type="dxa"/>
            <w:tcBorders>
              <w:bottom w:val="single" w:sz="4" w:space="0" w:color="auto"/>
            </w:tcBorders>
            <w:tcMar>
              <w:top w:w="100" w:type="dxa"/>
              <w:left w:w="100" w:type="dxa"/>
              <w:bottom w:w="100" w:type="dxa"/>
              <w:right w:w="100" w:type="dxa"/>
            </w:tcMar>
            <w:vAlign w:val="center"/>
          </w:tcPr>
          <w:p w14:paraId="6DDA0ED3"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0.005</w:t>
            </w:r>
          </w:p>
        </w:tc>
        <w:tc>
          <w:tcPr>
            <w:tcW w:w="1045" w:type="dxa"/>
            <w:tcBorders>
              <w:bottom w:val="single" w:sz="4" w:space="0" w:color="auto"/>
            </w:tcBorders>
            <w:tcMar>
              <w:top w:w="100" w:type="dxa"/>
              <w:left w:w="100" w:type="dxa"/>
              <w:bottom w:w="100" w:type="dxa"/>
              <w:right w:w="100" w:type="dxa"/>
            </w:tcMar>
            <w:vAlign w:val="center"/>
          </w:tcPr>
          <w:p w14:paraId="6177AD5C"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0.003</w:t>
            </w:r>
          </w:p>
        </w:tc>
        <w:tc>
          <w:tcPr>
            <w:tcW w:w="1013" w:type="dxa"/>
            <w:tcBorders>
              <w:bottom w:val="single" w:sz="4" w:space="0" w:color="auto"/>
            </w:tcBorders>
            <w:tcMar>
              <w:top w:w="100" w:type="dxa"/>
              <w:left w:w="100" w:type="dxa"/>
              <w:bottom w:w="100" w:type="dxa"/>
              <w:right w:w="100" w:type="dxa"/>
            </w:tcMar>
            <w:vAlign w:val="center"/>
          </w:tcPr>
          <w:p w14:paraId="4742943D"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53.674</w:t>
            </w:r>
          </w:p>
        </w:tc>
        <w:tc>
          <w:tcPr>
            <w:tcW w:w="1013" w:type="dxa"/>
            <w:tcBorders>
              <w:bottom w:val="single" w:sz="4" w:space="0" w:color="auto"/>
            </w:tcBorders>
            <w:tcMar>
              <w:top w:w="100" w:type="dxa"/>
              <w:left w:w="100" w:type="dxa"/>
              <w:bottom w:w="100" w:type="dxa"/>
              <w:right w:w="100" w:type="dxa"/>
            </w:tcMar>
            <w:vAlign w:val="center"/>
          </w:tcPr>
          <w:p w14:paraId="603DBEA0"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1.576</w:t>
            </w:r>
          </w:p>
        </w:tc>
        <w:tc>
          <w:tcPr>
            <w:tcW w:w="1013" w:type="dxa"/>
            <w:tcBorders>
              <w:bottom w:val="single" w:sz="4" w:space="0" w:color="auto"/>
            </w:tcBorders>
            <w:tcMar>
              <w:top w:w="100" w:type="dxa"/>
              <w:left w:w="100" w:type="dxa"/>
              <w:bottom w:w="100" w:type="dxa"/>
              <w:right w:w="100" w:type="dxa"/>
            </w:tcMar>
            <w:vAlign w:val="center"/>
          </w:tcPr>
          <w:p w14:paraId="3BC6F17E" w14:textId="77777777" w:rsidR="00766C52" w:rsidRPr="00257B73" w:rsidRDefault="00766C52" w:rsidP="00FC112C">
            <w:pPr>
              <w:widowControl w:val="0"/>
              <w:pBdr>
                <w:top w:val="nil"/>
                <w:left w:val="nil"/>
                <w:bottom w:val="nil"/>
                <w:right w:val="nil"/>
                <w:between w:val="nil"/>
              </w:pBdr>
              <w:spacing w:after="240"/>
              <w:contextualSpacing/>
              <w:jc w:val="center"/>
              <w:rPr>
                <w:rFonts w:ascii="Times New Roman" w:hAnsi="Times New Roman" w:cs="Times New Roman"/>
                <w:sz w:val="20"/>
                <w:szCs w:val="20"/>
              </w:rPr>
            </w:pPr>
            <w:r w:rsidRPr="00257B73">
              <w:rPr>
                <w:rFonts w:ascii="Times New Roman" w:hAnsi="Times New Roman" w:cs="Times New Roman"/>
                <w:sz w:val="20"/>
                <w:szCs w:val="20"/>
              </w:rPr>
              <w:t>0.121</w:t>
            </w:r>
          </w:p>
        </w:tc>
      </w:tr>
    </w:tbl>
    <w:p w14:paraId="4887EC7A" w14:textId="77777777" w:rsidR="002664B8" w:rsidRDefault="002664B8"/>
    <w:sectPr w:rsidR="002664B8" w:rsidSect="00D2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52"/>
    <w:rsid w:val="00000948"/>
    <w:rsid w:val="000162BA"/>
    <w:rsid w:val="000448A1"/>
    <w:rsid w:val="00046709"/>
    <w:rsid w:val="00051118"/>
    <w:rsid w:val="00060EBA"/>
    <w:rsid w:val="00061720"/>
    <w:rsid w:val="00076A79"/>
    <w:rsid w:val="00092BB6"/>
    <w:rsid w:val="00093AC9"/>
    <w:rsid w:val="000A3830"/>
    <w:rsid w:val="000C6AD9"/>
    <w:rsid w:val="000E0AF5"/>
    <w:rsid w:val="000E2737"/>
    <w:rsid w:val="00102BDA"/>
    <w:rsid w:val="00112A86"/>
    <w:rsid w:val="00116BEF"/>
    <w:rsid w:val="0012420D"/>
    <w:rsid w:val="00130A98"/>
    <w:rsid w:val="00153807"/>
    <w:rsid w:val="00183243"/>
    <w:rsid w:val="0019449F"/>
    <w:rsid w:val="00194B39"/>
    <w:rsid w:val="001A2CCA"/>
    <w:rsid w:val="001B4566"/>
    <w:rsid w:val="001B55CC"/>
    <w:rsid w:val="001D3860"/>
    <w:rsid w:val="0020119E"/>
    <w:rsid w:val="00201662"/>
    <w:rsid w:val="00204D51"/>
    <w:rsid w:val="00206401"/>
    <w:rsid w:val="002613EE"/>
    <w:rsid w:val="00263B80"/>
    <w:rsid w:val="00263C06"/>
    <w:rsid w:val="0026485A"/>
    <w:rsid w:val="002664B8"/>
    <w:rsid w:val="00271737"/>
    <w:rsid w:val="00277C03"/>
    <w:rsid w:val="00290F3D"/>
    <w:rsid w:val="002B202D"/>
    <w:rsid w:val="002D1C0B"/>
    <w:rsid w:val="002F0A3D"/>
    <w:rsid w:val="003032F6"/>
    <w:rsid w:val="00306F93"/>
    <w:rsid w:val="00310449"/>
    <w:rsid w:val="003632C9"/>
    <w:rsid w:val="00375C8A"/>
    <w:rsid w:val="00376008"/>
    <w:rsid w:val="00381965"/>
    <w:rsid w:val="00381A50"/>
    <w:rsid w:val="003932F2"/>
    <w:rsid w:val="00393BDF"/>
    <w:rsid w:val="003A1D53"/>
    <w:rsid w:val="003A492D"/>
    <w:rsid w:val="003B0625"/>
    <w:rsid w:val="004302D5"/>
    <w:rsid w:val="004339C6"/>
    <w:rsid w:val="00437D2F"/>
    <w:rsid w:val="00445A2D"/>
    <w:rsid w:val="00454D55"/>
    <w:rsid w:val="00457D9C"/>
    <w:rsid w:val="00461DCE"/>
    <w:rsid w:val="0048391F"/>
    <w:rsid w:val="004B7008"/>
    <w:rsid w:val="004C0D35"/>
    <w:rsid w:val="004E4783"/>
    <w:rsid w:val="004E5E7E"/>
    <w:rsid w:val="004F32D7"/>
    <w:rsid w:val="0050770A"/>
    <w:rsid w:val="00532B16"/>
    <w:rsid w:val="00536AE9"/>
    <w:rsid w:val="005519F2"/>
    <w:rsid w:val="00556916"/>
    <w:rsid w:val="005A550E"/>
    <w:rsid w:val="005B2079"/>
    <w:rsid w:val="005B2564"/>
    <w:rsid w:val="005C095E"/>
    <w:rsid w:val="005D4404"/>
    <w:rsid w:val="005F0113"/>
    <w:rsid w:val="005F0649"/>
    <w:rsid w:val="005F1CEE"/>
    <w:rsid w:val="005F2D00"/>
    <w:rsid w:val="0060337E"/>
    <w:rsid w:val="0060439E"/>
    <w:rsid w:val="006047B4"/>
    <w:rsid w:val="006342DA"/>
    <w:rsid w:val="0064191B"/>
    <w:rsid w:val="00653E46"/>
    <w:rsid w:val="00655639"/>
    <w:rsid w:val="0066548B"/>
    <w:rsid w:val="0069667F"/>
    <w:rsid w:val="006976DD"/>
    <w:rsid w:val="00697728"/>
    <w:rsid w:val="006A27BC"/>
    <w:rsid w:val="006C5950"/>
    <w:rsid w:val="007012B8"/>
    <w:rsid w:val="007023EA"/>
    <w:rsid w:val="007355CE"/>
    <w:rsid w:val="00744825"/>
    <w:rsid w:val="007547C4"/>
    <w:rsid w:val="007552D5"/>
    <w:rsid w:val="00764524"/>
    <w:rsid w:val="00766C52"/>
    <w:rsid w:val="0077097D"/>
    <w:rsid w:val="00780474"/>
    <w:rsid w:val="007867B8"/>
    <w:rsid w:val="007968E7"/>
    <w:rsid w:val="00797B47"/>
    <w:rsid w:val="007A62BE"/>
    <w:rsid w:val="007B3754"/>
    <w:rsid w:val="007B4AC1"/>
    <w:rsid w:val="007C1134"/>
    <w:rsid w:val="007C6559"/>
    <w:rsid w:val="007E260F"/>
    <w:rsid w:val="008068E8"/>
    <w:rsid w:val="00806B65"/>
    <w:rsid w:val="00824748"/>
    <w:rsid w:val="00824FE8"/>
    <w:rsid w:val="00847DF8"/>
    <w:rsid w:val="00857593"/>
    <w:rsid w:val="00893499"/>
    <w:rsid w:val="008A7445"/>
    <w:rsid w:val="008E30F5"/>
    <w:rsid w:val="008E62EC"/>
    <w:rsid w:val="009056F7"/>
    <w:rsid w:val="00917130"/>
    <w:rsid w:val="0092121A"/>
    <w:rsid w:val="009236AD"/>
    <w:rsid w:val="00932BB1"/>
    <w:rsid w:val="0093558F"/>
    <w:rsid w:val="00954B8F"/>
    <w:rsid w:val="0096141F"/>
    <w:rsid w:val="00964595"/>
    <w:rsid w:val="00971DC1"/>
    <w:rsid w:val="009A0F39"/>
    <w:rsid w:val="009C208B"/>
    <w:rsid w:val="009C76F3"/>
    <w:rsid w:val="009F2FF0"/>
    <w:rsid w:val="009F3897"/>
    <w:rsid w:val="009F38D5"/>
    <w:rsid w:val="00A142D3"/>
    <w:rsid w:val="00A21008"/>
    <w:rsid w:val="00A35911"/>
    <w:rsid w:val="00A52494"/>
    <w:rsid w:val="00A5278C"/>
    <w:rsid w:val="00A676A2"/>
    <w:rsid w:val="00A76D0A"/>
    <w:rsid w:val="00A8181C"/>
    <w:rsid w:val="00A82E26"/>
    <w:rsid w:val="00AA2825"/>
    <w:rsid w:val="00AA2B90"/>
    <w:rsid w:val="00AC12A3"/>
    <w:rsid w:val="00AD5851"/>
    <w:rsid w:val="00AE05E8"/>
    <w:rsid w:val="00AE70CD"/>
    <w:rsid w:val="00B11993"/>
    <w:rsid w:val="00B1587A"/>
    <w:rsid w:val="00B20ABF"/>
    <w:rsid w:val="00B347E6"/>
    <w:rsid w:val="00B527CB"/>
    <w:rsid w:val="00B56C91"/>
    <w:rsid w:val="00B7191D"/>
    <w:rsid w:val="00B754B2"/>
    <w:rsid w:val="00BC6901"/>
    <w:rsid w:val="00BC7534"/>
    <w:rsid w:val="00BE175D"/>
    <w:rsid w:val="00BE3548"/>
    <w:rsid w:val="00BF0D6B"/>
    <w:rsid w:val="00BF5D21"/>
    <w:rsid w:val="00BF6047"/>
    <w:rsid w:val="00C01742"/>
    <w:rsid w:val="00C40024"/>
    <w:rsid w:val="00C620B5"/>
    <w:rsid w:val="00C65783"/>
    <w:rsid w:val="00C95011"/>
    <w:rsid w:val="00CA6AFA"/>
    <w:rsid w:val="00CC6D3D"/>
    <w:rsid w:val="00CD19A5"/>
    <w:rsid w:val="00D179E6"/>
    <w:rsid w:val="00D23480"/>
    <w:rsid w:val="00D26A4B"/>
    <w:rsid w:val="00D377F1"/>
    <w:rsid w:val="00D42CA2"/>
    <w:rsid w:val="00D455CF"/>
    <w:rsid w:val="00D50048"/>
    <w:rsid w:val="00D55F33"/>
    <w:rsid w:val="00D62A06"/>
    <w:rsid w:val="00D63C63"/>
    <w:rsid w:val="00DB7067"/>
    <w:rsid w:val="00DB7805"/>
    <w:rsid w:val="00DC5605"/>
    <w:rsid w:val="00DD26A5"/>
    <w:rsid w:val="00DD3D0B"/>
    <w:rsid w:val="00DD4853"/>
    <w:rsid w:val="00DE327B"/>
    <w:rsid w:val="00E01F65"/>
    <w:rsid w:val="00E03469"/>
    <w:rsid w:val="00E07A6E"/>
    <w:rsid w:val="00E25B11"/>
    <w:rsid w:val="00E51244"/>
    <w:rsid w:val="00E551DB"/>
    <w:rsid w:val="00E60961"/>
    <w:rsid w:val="00E75CBC"/>
    <w:rsid w:val="00E904A9"/>
    <w:rsid w:val="00EA07B2"/>
    <w:rsid w:val="00EB109F"/>
    <w:rsid w:val="00F0083F"/>
    <w:rsid w:val="00F1302E"/>
    <w:rsid w:val="00F14EB7"/>
    <w:rsid w:val="00F30AE6"/>
    <w:rsid w:val="00F4130C"/>
    <w:rsid w:val="00F424FB"/>
    <w:rsid w:val="00F524DA"/>
    <w:rsid w:val="00F5569E"/>
    <w:rsid w:val="00F641CF"/>
    <w:rsid w:val="00F64CD9"/>
    <w:rsid w:val="00F759B2"/>
    <w:rsid w:val="00F75C91"/>
    <w:rsid w:val="00F92D77"/>
    <w:rsid w:val="00F94BD6"/>
    <w:rsid w:val="00FA2280"/>
    <w:rsid w:val="00FA3EE7"/>
    <w:rsid w:val="00FB102A"/>
    <w:rsid w:val="00FD368E"/>
    <w:rsid w:val="00FF5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06CC36"/>
  <w15:chartTrackingRefBased/>
  <w15:docId w15:val="{4C0B8F44-0531-C649-BDF0-BED4DF05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C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basedOn w:val="TableNormal"/>
    <w:rsid w:val="00766C52"/>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DefaultParagraphFont"/>
    <w:rsid w:val="0046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99697">
      <w:bodyDiv w:val="1"/>
      <w:marLeft w:val="0"/>
      <w:marRight w:val="0"/>
      <w:marTop w:val="0"/>
      <w:marBottom w:val="0"/>
      <w:divBdr>
        <w:top w:val="none" w:sz="0" w:space="0" w:color="auto"/>
        <w:left w:val="none" w:sz="0" w:space="0" w:color="auto"/>
        <w:bottom w:val="none" w:sz="0" w:space="0" w:color="auto"/>
        <w:right w:val="none" w:sz="0" w:space="0" w:color="auto"/>
      </w:divBdr>
    </w:div>
    <w:div w:id="13377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Rice</dc:creator>
  <cp:keywords/>
  <dc:description/>
  <cp:lastModifiedBy>Mallory Rice</cp:lastModifiedBy>
  <cp:revision>4</cp:revision>
  <dcterms:created xsi:type="dcterms:W3CDTF">2019-09-10T22:53:00Z</dcterms:created>
  <dcterms:modified xsi:type="dcterms:W3CDTF">2019-10-05T19:12:00Z</dcterms:modified>
</cp:coreProperties>
</file>