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7434C" w14:textId="77777777" w:rsidR="006E51DF" w:rsidRPr="00DB69AE" w:rsidRDefault="00BC3A9B" w:rsidP="0068555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bookmarkStart w:id="0" w:name="_GoBack"/>
      <w:bookmarkEnd w:id="0"/>
      <w:r w:rsidRPr="00DB69AE">
        <w:rPr>
          <w:rFonts w:ascii="Times New Roman" w:hAnsi="Times New Roman" w:cs="Times New Roman"/>
          <w:b/>
          <w:i/>
          <w:sz w:val="24"/>
          <w:szCs w:val="24"/>
          <w:lang w:val="en-GB"/>
        </w:rPr>
        <w:t>Appendix</w:t>
      </w:r>
      <w:r w:rsidR="00417225" w:rsidRPr="00DB69AE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1. Growth rates </w:t>
      </w:r>
    </w:p>
    <w:p w14:paraId="428D7787" w14:textId="77777777" w:rsidR="001B752C" w:rsidRPr="00DB69AE" w:rsidRDefault="001B752C" w:rsidP="00257C0D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2F435E" w14:textId="25E4EF11" w:rsidR="00257C0D" w:rsidRPr="00DB69AE" w:rsidRDefault="00F02856" w:rsidP="00221A67">
      <w:pPr>
        <w:autoSpaceDE w:val="0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B69AE">
        <w:rPr>
          <w:rFonts w:ascii="Times New Roman" w:hAnsi="Times New Roman" w:cs="Times New Roman"/>
          <w:sz w:val="24"/>
          <w:szCs w:val="24"/>
          <w:lang w:val="en-GB"/>
        </w:rPr>
        <w:t>Individual</w:t>
      </w:r>
      <w:r w:rsidR="00257C0D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growth can be assessed by the development of growth models. This method is particularly suitable for indeterminate growth, which is the case for tortoises </w:t>
      </w:r>
      <w:r w:rsidR="00FA4314">
        <w:rPr>
          <w:rFonts w:ascii="Times New Roman" w:hAnsi="Times New Roman" w:cs="Times New Roman"/>
          <w:sz w:val="24"/>
          <w:szCs w:val="24"/>
          <w:lang w:val="en-GB"/>
        </w:rPr>
        <w:t>because</w:t>
      </w:r>
      <w:r w:rsidR="00257C0D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they</w:t>
      </w:r>
      <w:r w:rsidR="00FA4314">
        <w:rPr>
          <w:rFonts w:ascii="Times New Roman" w:hAnsi="Times New Roman" w:cs="Times New Roman"/>
          <w:sz w:val="24"/>
          <w:szCs w:val="24"/>
          <w:lang w:val="en-GB"/>
        </w:rPr>
        <w:t xml:space="preserve"> grow throughout their lifespan. Growth in adults, however, is </w:t>
      </w:r>
      <w:r w:rsidR="00257C0D" w:rsidRPr="00DB69AE">
        <w:rPr>
          <w:rFonts w:ascii="Times New Roman" w:hAnsi="Times New Roman" w:cs="Times New Roman"/>
          <w:sz w:val="24"/>
          <w:szCs w:val="24"/>
          <w:lang w:val="en-GB"/>
        </w:rPr>
        <w:t>asymptotical towards maximu</w:t>
      </w:r>
      <w:r w:rsidR="00FA4314">
        <w:rPr>
          <w:rFonts w:ascii="Times New Roman" w:hAnsi="Times New Roman" w:cs="Times New Roman"/>
          <w:sz w:val="24"/>
          <w:szCs w:val="24"/>
          <w:lang w:val="en-GB"/>
        </w:rPr>
        <w:t>m size</w:t>
      </w:r>
      <w:r w:rsidR="00257C0D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.   </w:t>
      </w:r>
      <w:r w:rsidR="0020457D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A43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555A" w:rsidRPr="00DB69A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proofErr w:type="spellStart"/>
      <w:r w:rsidR="0068555A" w:rsidRPr="00DB69AE">
        <w:rPr>
          <w:rFonts w:ascii="Times New Roman" w:hAnsi="Times New Roman" w:cs="Times New Roman"/>
          <w:sz w:val="24"/>
          <w:szCs w:val="24"/>
          <w:lang w:val="en-US"/>
        </w:rPr>
        <w:t>Bertalanffy</w:t>
      </w:r>
      <w:proofErr w:type="spellEnd"/>
      <w:r w:rsidR="0068555A" w:rsidRPr="00DB69AE">
        <w:rPr>
          <w:rFonts w:ascii="Times New Roman" w:hAnsi="Times New Roman" w:cs="Times New Roman"/>
          <w:sz w:val="24"/>
          <w:szCs w:val="24"/>
          <w:lang w:val="en-US"/>
        </w:rPr>
        <w:t xml:space="preserve"> model is </w:t>
      </w:r>
      <w:r w:rsidR="00257C0D" w:rsidRPr="00DB69AE">
        <w:rPr>
          <w:rFonts w:ascii="Times New Roman" w:hAnsi="Times New Roman" w:cs="Times New Roman"/>
          <w:sz w:val="24"/>
          <w:szCs w:val="24"/>
          <w:lang w:val="en-US"/>
        </w:rPr>
        <w:t>the most</w:t>
      </w:r>
      <w:r w:rsidR="0068555A" w:rsidRPr="00DB69AE">
        <w:rPr>
          <w:rFonts w:ascii="Times New Roman" w:hAnsi="Times New Roman" w:cs="Times New Roman"/>
          <w:sz w:val="24"/>
          <w:szCs w:val="24"/>
          <w:lang w:val="en-US"/>
        </w:rPr>
        <w:t xml:space="preserve"> commonly used growth model </w:t>
      </w:r>
      <w:r w:rsidR="00FA4314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8555A" w:rsidRPr="00DB69AE">
        <w:rPr>
          <w:rFonts w:ascii="Times New Roman" w:hAnsi="Times New Roman" w:cs="Times New Roman"/>
          <w:sz w:val="24"/>
          <w:szCs w:val="24"/>
          <w:lang w:val="en-US"/>
        </w:rPr>
        <w:t xml:space="preserve"> explain</w:t>
      </w:r>
      <w:r w:rsidR="00FA4314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68555A" w:rsidRPr="00DB69AE">
        <w:rPr>
          <w:rFonts w:ascii="Times New Roman" w:hAnsi="Times New Roman" w:cs="Times New Roman"/>
          <w:sz w:val="24"/>
          <w:szCs w:val="24"/>
          <w:lang w:val="en-US"/>
        </w:rPr>
        <w:t xml:space="preserve"> the individual growth of tortoises </w:t>
      </w:r>
      <w:r w:rsidR="00257C0D" w:rsidRPr="00DB69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369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57C0D" w:rsidRPr="00DB69A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D36933">
        <w:rPr>
          <w:rFonts w:ascii="Times New Roman" w:hAnsi="Times New Roman" w:cs="Times New Roman"/>
          <w:sz w:val="24"/>
          <w:szCs w:val="24"/>
          <w:lang w:val="en-US"/>
        </w:rPr>
        <w:t xml:space="preserve">uation </w:t>
      </w:r>
      <w:r w:rsidR="00257C0D" w:rsidRPr="00DB69AE">
        <w:rPr>
          <w:rFonts w:ascii="Times New Roman" w:hAnsi="Times New Roman" w:cs="Times New Roman"/>
          <w:sz w:val="24"/>
          <w:szCs w:val="24"/>
          <w:lang w:val="en-US"/>
        </w:rPr>
        <w:t xml:space="preserve">1; </w:t>
      </w:r>
      <w:proofErr w:type="spellStart"/>
      <w:r w:rsidR="003D3F17" w:rsidRPr="00DB69AE">
        <w:rPr>
          <w:rFonts w:ascii="Times New Roman" w:hAnsi="Times New Roman" w:cs="Times New Roman"/>
          <w:sz w:val="24"/>
          <w:szCs w:val="24"/>
          <w:lang w:val="en-US"/>
        </w:rPr>
        <w:t>Zivkov</w:t>
      </w:r>
      <w:proofErr w:type="spellEnd"/>
      <w:r w:rsidR="003D3F17" w:rsidRPr="00DB69AE">
        <w:rPr>
          <w:rFonts w:ascii="Times New Roman" w:hAnsi="Times New Roman" w:cs="Times New Roman"/>
          <w:sz w:val="24"/>
          <w:szCs w:val="24"/>
          <w:lang w:val="en-US"/>
        </w:rPr>
        <w:t xml:space="preserve"> et al. 2007; </w:t>
      </w:r>
      <w:proofErr w:type="spellStart"/>
      <w:r w:rsidR="003D3F17" w:rsidRPr="00DB69AE">
        <w:rPr>
          <w:rFonts w:ascii="Times New Roman" w:hAnsi="Times New Roman" w:cs="Times New Roman"/>
          <w:sz w:val="24"/>
          <w:szCs w:val="24"/>
          <w:lang w:val="en-US"/>
        </w:rPr>
        <w:t>Macale</w:t>
      </w:r>
      <w:proofErr w:type="spellEnd"/>
      <w:r w:rsidR="003D3F17" w:rsidRPr="00DB69AE">
        <w:rPr>
          <w:rFonts w:ascii="Times New Roman" w:hAnsi="Times New Roman" w:cs="Times New Roman"/>
          <w:sz w:val="24"/>
          <w:szCs w:val="24"/>
          <w:lang w:val="en-US"/>
        </w:rPr>
        <w:t xml:space="preserve"> et al. 2009, </w:t>
      </w:r>
      <w:r w:rsidR="00257C0D" w:rsidRPr="00DB69AE">
        <w:rPr>
          <w:rFonts w:ascii="Times New Roman" w:hAnsi="Times New Roman" w:cs="Times New Roman"/>
          <w:sz w:val="24"/>
          <w:szCs w:val="24"/>
          <w:lang w:val="en-GB"/>
        </w:rPr>
        <w:t>Rodriguez-Caro et al., 2013).</w:t>
      </w:r>
    </w:p>
    <w:p w14:paraId="5838585F" w14:textId="5079F7D0" w:rsidR="0035472B" w:rsidRPr="00DB69AE" w:rsidRDefault="00FA4314" w:rsidP="00257C0D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Equation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3"/>
        <w:gridCol w:w="222"/>
      </w:tblGrid>
      <w:tr w:rsidR="00257C0D" w:rsidRPr="00DB69AE" w14:paraId="626BF595" w14:textId="77777777" w:rsidTr="00257C0D">
        <w:trPr>
          <w:jc w:val="center"/>
        </w:trPr>
        <w:tc>
          <w:tcPr>
            <w:tcW w:w="0" w:type="auto"/>
          </w:tcPr>
          <w:p w14:paraId="04A30B95" w14:textId="77777777" w:rsidR="00257C0D" w:rsidRPr="00DB69AE" w:rsidRDefault="00257C0D" w:rsidP="00257C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Y= 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∞</m:t>
                  </m:r>
                </m:sub>
                <m:sup/>
              </m:sSubSup>
            </m:oMath>
            <w:r w:rsidRPr="00DB69AE">
              <w:rPr>
                <w:rFonts w:ascii="Times New Roman" w:hAnsi="Times New Roman" w:cs="Times New Roman"/>
                <w:sz w:val="24"/>
                <w:szCs w:val="24"/>
              </w:rPr>
              <w:t>(1 - b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-kt</m:t>
                  </m:r>
                </m:sup>
              </m:sSup>
            </m:oMath>
            <w:r w:rsidRPr="00DB6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E000926" w14:textId="77777777" w:rsidR="00257C0D" w:rsidRPr="00DB69AE" w:rsidRDefault="00257C0D" w:rsidP="006E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93BDB" w14:textId="4B16AD00" w:rsidR="00257C0D" w:rsidRPr="00DB69AE" w:rsidRDefault="00257C0D" w:rsidP="00221A67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DB69AE">
        <w:rPr>
          <w:rFonts w:ascii="Times New Roman" w:hAnsi="Times New Roman" w:cs="Times New Roman"/>
          <w:sz w:val="24"/>
          <w:szCs w:val="24"/>
          <w:lang w:val="en-GB"/>
        </w:rPr>
        <w:t>where</w:t>
      </w:r>
      <w:proofErr w:type="gramEnd"/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the dependent variable </w:t>
      </w:r>
      <w:r w:rsidRPr="00DB69AE">
        <w:rPr>
          <w:rFonts w:ascii="Times New Roman" w:hAnsi="Times New Roman" w:cs="Times New Roman"/>
          <w:i/>
          <w:sz w:val="24"/>
          <w:szCs w:val="24"/>
          <w:lang w:val="en-GB"/>
        </w:rPr>
        <w:t>Y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is carapace length at age </w:t>
      </w:r>
      <w:r w:rsidRPr="00DB69AE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∞</m:t>
            </m:r>
          </m:sub>
          <m:sup/>
        </m:sSubSup>
      </m:oMath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is asymptotic size, </w:t>
      </w:r>
      <w:r w:rsidRPr="00DB69AE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is a parameter associated with the amount of growth remaining, and </w:t>
      </w:r>
      <w:r w:rsidRPr="00DB69A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is the growth rate (Fabens 1965).</w:t>
      </w:r>
      <w:r w:rsidR="001B752C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555A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In Rodríguez-Caro et al. (2013), </w:t>
      </w:r>
      <w:r w:rsidR="0020457D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36933">
        <w:rPr>
          <w:rFonts w:ascii="Times New Roman" w:hAnsi="Times New Roman" w:cs="Times New Roman"/>
          <w:sz w:val="24"/>
          <w:szCs w:val="24"/>
          <w:lang w:val="en-GB"/>
        </w:rPr>
        <w:t>parameters</w:t>
      </w:r>
      <w:r w:rsidR="0068555A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∞</m:t>
            </m:r>
          </m:sub>
          <m:sup/>
        </m:sSubSup>
      </m:oMath>
      <w:r w:rsidR="0068555A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8555A" w:rsidRPr="00DB69AE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="0068555A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68555A" w:rsidRPr="00DB69A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were estimated using nonlinear regres</w:t>
      </w:r>
      <w:r w:rsidR="0020457D" w:rsidRPr="00DB69A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0457D" w:rsidRPr="00DB69A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0457D" w:rsidRPr="00DB69A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between captures and recaptures. </w:t>
      </w:r>
    </w:p>
    <w:p w14:paraId="773A1B85" w14:textId="1E18C252" w:rsidR="003D3F17" w:rsidRPr="00DB69AE" w:rsidRDefault="0020457D" w:rsidP="00221A67">
      <w:pPr>
        <w:autoSpaceDE w:val="0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B69AE">
        <w:rPr>
          <w:rFonts w:ascii="Times New Roman" w:hAnsi="Times New Roman" w:cs="Times New Roman"/>
          <w:sz w:val="24"/>
          <w:szCs w:val="24"/>
          <w:lang w:val="en-GB"/>
        </w:rPr>
        <w:t>The g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rowth rate </w:t>
      </w:r>
      <w:r w:rsidR="00B524D3" w:rsidRPr="00DB69A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is a parameter </w:t>
      </w:r>
      <w:r w:rsidR="00FA4314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describes the process of growth from the birth of the individual to the 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>present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To know the variability in </w:t>
      </w:r>
      <w:r w:rsidR="0035472B" w:rsidRPr="00DB69A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>, we use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the size of each individual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24D3" w:rsidRPr="00DB69AE">
        <w:rPr>
          <w:rFonts w:ascii="Times New Roman" w:hAnsi="Times New Roman" w:cs="Times New Roman"/>
          <w:i/>
          <w:sz w:val="24"/>
          <w:szCs w:val="24"/>
          <w:lang w:val="en-GB"/>
        </w:rPr>
        <w:t>Y</w:t>
      </w:r>
      <w:r w:rsidR="0035472B" w:rsidRPr="00DB69A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>and the estimated age by growth ring counting</w:t>
      </w:r>
      <w:r w:rsidR="0035472B" w:rsidRPr="00DB69A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B524D3" w:rsidRPr="00DB69AE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>(Rodríguez-Caro et al., 2015). We estimate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472B" w:rsidRPr="00DB69A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each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individual using </w:t>
      </w:r>
      <w:r w:rsidR="00FA4314">
        <w:rPr>
          <w:rFonts w:ascii="Times New Roman" w:hAnsi="Times New Roman" w:cs="Times New Roman"/>
          <w:sz w:val="24"/>
          <w:szCs w:val="24"/>
          <w:lang w:val="en-GB"/>
        </w:rPr>
        <w:t>Equation</w:t>
      </w:r>
      <w:r w:rsidR="00D369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5472B" w:rsidRPr="00DB69AE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previously estimated 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values of </w:t>
      </w:r>
      <m:oMath>
        <m:sSubSup>
          <m:sSub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∞</m:t>
            </m:r>
          </m:sub>
          <m:sup/>
        </m:sSubSup>
      </m:oMath>
      <w:r w:rsidR="003D3F17" w:rsidRPr="00DB69AE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(172 mm and 131 mm for females and males</w:t>
      </w:r>
      <w:r w:rsidR="00FA431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respectively) and </w:t>
      </w:r>
      <w:r w:rsidR="003D3F17" w:rsidRPr="00DB69AE">
        <w:rPr>
          <w:rFonts w:ascii="Times New Roman" w:hAnsi="Times New Roman" w:cs="Times New Roman"/>
          <w:i/>
          <w:sz w:val="24"/>
          <w:szCs w:val="24"/>
          <w:lang w:val="en-GB"/>
        </w:rPr>
        <w:t>b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(0.7843 and 0.7112 for females and males</w:t>
      </w:r>
      <w:r w:rsidR="00B34FF2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respectively)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B3EAACA" w14:textId="01E057BC" w:rsidR="00B524D3" w:rsidRPr="00DB69AE" w:rsidRDefault="00B34FF2" w:rsidP="00B524D3">
      <w:pPr>
        <w:autoSpaceDE w:val="0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Equation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22"/>
      </w:tblGrid>
      <w:tr w:rsidR="00B524D3" w:rsidRPr="00DB69AE" w14:paraId="38D5EE66" w14:textId="77777777" w:rsidTr="006E51DF">
        <w:trPr>
          <w:jc w:val="center"/>
        </w:trPr>
        <w:tc>
          <w:tcPr>
            <w:tcW w:w="0" w:type="auto"/>
          </w:tcPr>
          <w:p w14:paraId="7E2AC964" w14:textId="77777777" w:rsidR="00B524D3" w:rsidRPr="00DB69AE" w:rsidRDefault="00B524D3" w:rsidP="006E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w:lastRenderedPageBreak/>
                  <m:t xml:space="preserve">k=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f>
                                  <m:fPr>
                                    <m:type m:val="skw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Y</m:t>
                                    </m:r>
                                  </m:num>
                                  <m:den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∞</m:t>
                                        </m:r>
                                      </m:sub>
                                      <m:sup/>
                                    </m:sSubSup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b</m:t>
                                </m:r>
                              </m:den>
                            </m:f>
                          </m:e>
                        </m:d>
                      </m:e>
                    </m:func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-t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14:paraId="4A7D0281" w14:textId="77777777" w:rsidR="00B524D3" w:rsidRPr="00DB69AE" w:rsidRDefault="00B524D3" w:rsidP="006E51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7893D" w14:textId="77777777" w:rsidR="00B524D3" w:rsidRPr="00DB69AE" w:rsidRDefault="00B524D3" w:rsidP="003D3F17">
      <w:pPr>
        <w:autoSpaceDE w:val="0"/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C895E4" w14:textId="77777777" w:rsidR="00B524D3" w:rsidRPr="00DB69AE" w:rsidRDefault="00D803E5" w:rsidP="00221A67">
      <w:pPr>
        <w:autoSpaceDE w:val="0"/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The distribution of growth rates 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>ranged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3F5E" w:rsidRPr="00DB69AE">
        <w:rPr>
          <w:rFonts w:ascii="Times New Roman" w:hAnsi="Times New Roman" w:cs="Times New Roman"/>
          <w:sz w:val="24"/>
          <w:szCs w:val="24"/>
          <w:lang w:val="en-GB"/>
        </w:rPr>
        <w:t>from 0.0019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to 0.4559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with a mean of </w:t>
      </w:r>
      <w:r w:rsidR="00B23F5E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0.1095 (Fig S1.1). 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here 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no differences in growth rate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3F5E" w:rsidRPr="00DB69AE">
        <w:rPr>
          <w:rFonts w:ascii="Times New Roman" w:hAnsi="Times New Roman" w:cs="Times New Roman"/>
          <w:sz w:val="24"/>
          <w:szCs w:val="24"/>
          <w:lang w:val="en-GB"/>
        </w:rPr>
        <w:t>between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landscapes</w:t>
      </w:r>
      <w:r w:rsidR="00152268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with different 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habitat loss categories 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>(F</w:t>
      </w:r>
      <w:r w:rsidR="00B23F5E" w:rsidRPr="00DB69AE">
        <w:rPr>
          <w:rFonts w:ascii="Times New Roman" w:hAnsi="Times New Roman" w:cs="Times New Roman"/>
          <w:sz w:val="24"/>
          <w:szCs w:val="24"/>
          <w:lang w:val="en-GB"/>
        </w:rPr>
        <w:t>ig. S1.2</w:t>
      </w:r>
      <w:r w:rsidR="00B524D3" w:rsidRPr="00DB69AE">
        <w:rPr>
          <w:rFonts w:ascii="Times New Roman" w:hAnsi="Times New Roman" w:cs="Times New Roman"/>
          <w:sz w:val="24"/>
          <w:szCs w:val="24"/>
          <w:lang w:val="en-GB"/>
        </w:rPr>
        <w:t>.).</w:t>
      </w:r>
    </w:p>
    <w:p w14:paraId="472B3687" w14:textId="77777777" w:rsidR="00D803E5" w:rsidRPr="00DB69AE" w:rsidRDefault="00D803E5" w:rsidP="00D803E5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69AE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E982E0C" wp14:editId="4F2B4126">
            <wp:extent cx="5400040" cy="4119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1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BCB2" w14:textId="77777777" w:rsidR="00B23F5E" w:rsidRPr="00DB69AE" w:rsidRDefault="00B23F5E" w:rsidP="00B23F5E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B6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 S1.1. </w:t>
      </w:r>
      <w:proofErr w:type="gramStart"/>
      <w:r w:rsidRPr="00DB69AE">
        <w:rPr>
          <w:rFonts w:ascii="Times New Roman" w:hAnsi="Times New Roman" w:cs="Times New Roman"/>
          <w:b/>
          <w:sz w:val="24"/>
          <w:szCs w:val="24"/>
          <w:lang w:val="en-GB"/>
        </w:rPr>
        <w:t>Distribution of individual growth rate</w:t>
      </w:r>
      <w:r w:rsidR="00A47289" w:rsidRPr="00DB69A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DB69A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52268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Histogram 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with the values of </w:t>
      </w:r>
      <w:r w:rsidRPr="00DB69A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Pr="00DB69A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26EE8D4" w14:textId="77777777" w:rsidR="00B23F5E" w:rsidRPr="00DB69AE" w:rsidRDefault="00B23F5E" w:rsidP="00D803E5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3E70A00" w14:textId="77777777" w:rsidR="0035472B" w:rsidRPr="00DB69AE" w:rsidRDefault="001B752C" w:rsidP="00257C0D">
      <w:pPr>
        <w:autoSpaceDE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9AE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equires="cx1">
            <w:drawing>
              <wp:inline distT="0" distB="0" distL="0" distR="0" wp14:anchorId="0D8626F6" wp14:editId="6E915A32">
                <wp:extent cx="4572000" cy="2743200"/>
                <wp:effectExtent l="0" t="0" r="0" b="0"/>
                <wp:docPr id="2" name="Gráfico 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6"/>
                  </a:graphicData>
                </a:graphic>
              </wp:inline>
            </w:drawing>
          </mc:Choice>
          <mc:Fallback>
            <w:drawing>
              <wp:inline distT="0" distB="0" distL="0" distR="0" wp14:anchorId="496F30E3" wp14:editId="49B34563">
                <wp:extent cx="4572000" cy="2743200"/>
                <wp:effectExtent l="0" t="0" r="0" b="0"/>
                <wp:docPr id="2" name="Gráfico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1775493" w14:textId="7BB2AEFA" w:rsidR="001B752C" w:rsidRPr="00DB69AE" w:rsidRDefault="001B752C" w:rsidP="00221A67">
      <w:pPr>
        <w:autoSpaceDE w:val="0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B69AE">
        <w:rPr>
          <w:rFonts w:ascii="Times New Roman" w:hAnsi="Times New Roman" w:cs="Times New Roman"/>
          <w:b/>
          <w:sz w:val="24"/>
          <w:szCs w:val="24"/>
          <w:lang w:val="en-GB"/>
        </w:rPr>
        <w:t>Fig S1.</w:t>
      </w:r>
      <w:r w:rsidR="00152268" w:rsidRPr="00DB69A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DB69AE">
        <w:rPr>
          <w:rFonts w:ascii="Times New Roman" w:hAnsi="Times New Roman" w:cs="Times New Roman"/>
          <w:b/>
          <w:sz w:val="24"/>
          <w:szCs w:val="24"/>
          <w:lang w:val="en-GB"/>
        </w:rPr>
        <w:t>. Individual growth rate</w:t>
      </w:r>
      <w:r w:rsidR="00A47289" w:rsidRPr="00DB69A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DB6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34FF2">
        <w:rPr>
          <w:rFonts w:ascii="Times New Roman" w:hAnsi="Times New Roman" w:cs="Times New Roman"/>
          <w:b/>
          <w:sz w:val="24"/>
          <w:szCs w:val="24"/>
          <w:lang w:val="en-GB"/>
        </w:rPr>
        <w:t>in</w:t>
      </w:r>
      <w:r w:rsidR="00A47289" w:rsidRPr="00DB69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landscapes</w:t>
      </w:r>
      <w:r w:rsidR="003D3F17" w:rsidRPr="00DB69A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Box</w:t>
      </w:r>
      <w:r w:rsidR="00B34F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plot with the values of </w:t>
      </w:r>
      <w:r w:rsidR="003D3F17" w:rsidRPr="00DB69AE">
        <w:rPr>
          <w:rFonts w:ascii="Times New Roman" w:hAnsi="Times New Roman" w:cs="Times New Roman"/>
          <w:i/>
          <w:sz w:val="24"/>
          <w:szCs w:val="24"/>
          <w:lang w:val="en-GB"/>
        </w:rPr>
        <w:t>k</w:t>
      </w:r>
      <w:r w:rsidR="00A47289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 according to the level of habitat loss</w:t>
      </w:r>
      <w:r w:rsidR="003D3F17" w:rsidRPr="00DB69A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09F47C8C" w14:textId="77777777" w:rsidR="00C56CE6" w:rsidRPr="006E51DF" w:rsidRDefault="00C56CE6" w:rsidP="00221A67">
      <w:pPr>
        <w:autoSpaceDE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E51DF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3AB70052" w14:textId="2D2DB72A" w:rsidR="0016153F" w:rsidRDefault="006E51DF" w:rsidP="00221A67">
      <w:pPr>
        <w:pStyle w:val="Textodecuerpo"/>
        <w:tabs>
          <w:tab w:val="left" w:pos="6120"/>
          <w:tab w:val="left" w:pos="6827"/>
          <w:tab w:val="left" w:pos="7534"/>
          <w:tab w:val="left" w:pos="8242"/>
          <w:tab w:val="left" w:pos="8950"/>
          <w:tab w:val="left" w:pos="9657"/>
          <w:tab w:val="left" w:pos="10365"/>
          <w:tab w:val="left" w:pos="11072"/>
          <w:tab w:val="left" w:pos="11780"/>
          <w:tab w:val="left" w:pos="12487"/>
          <w:tab w:val="left" w:pos="13195"/>
          <w:tab w:val="left" w:pos="13902"/>
          <w:tab w:val="left" w:pos="14610"/>
          <w:tab w:val="left" w:pos="15317"/>
          <w:tab w:val="left" w:pos="16025"/>
          <w:tab w:val="left" w:pos="16732"/>
          <w:tab w:val="left" w:pos="17440"/>
          <w:tab w:val="left" w:pos="18147"/>
          <w:tab w:val="left" w:pos="18855"/>
          <w:tab w:val="left" w:pos="19562"/>
          <w:tab w:val="left" w:pos="20270"/>
        </w:tabs>
        <w:autoSpaceDE w:val="0"/>
        <w:spacing w:before="113" w:after="113" w:line="480" w:lineRule="auto"/>
        <w:ind w:left="340" w:hanging="340"/>
        <w:rPr>
          <w:color w:val="000000"/>
          <w:lang w:val="en-US"/>
        </w:rPr>
      </w:pPr>
      <w:r w:rsidRPr="006E51DF">
        <w:rPr>
          <w:color w:val="000000"/>
          <w:lang w:val="en-US"/>
        </w:rPr>
        <w:t xml:space="preserve">Fabens AJ. 1965. Properties and fitting of the von </w:t>
      </w:r>
      <w:proofErr w:type="spellStart"/>
      <w:r w:rsidRPr="006E51DF">
        <w:rPr>
          <w:color w:val="000000"/>
          <w:lang w:val="en-US"/>
        </w:rPr>
        <w:t>Bertalanffy</w:t>
      </w:r>
      <w:proofErr w:type="spellEnd"/>
      <w:r w:rsidRPr="006E51DF">
        <w:rPr>
          <w:color w:val="000000"/>
          <w:lang w:val="en-US"/>
        </w:rPr>
        <w:t xml:space="preserve"> growth curve. Growth 29:265-289 </w:t>
      </w:r>
      <w:r w:rsidR="00D309DD" w:rsidRPr="00D309DD">
        <w:rPr>
          <w:color w:val="000000"/>
          <w:lang w:val="en-US"/>
        </w:rPr>
        <w:t>https://www.cabdirect.org/cabdirect/abstract/19661402866.</w:t>
      </w:r>
    </w:p>
    <w:p w14:paraId="7D749250" w14:textId="3462583C" w:rsidR="00D309DD" w:rsidRDefault="00D309DD" w:rsidP="00221A67">
      <w:pPr>
        <w:pStyle w:val="Textodecuerpo"/>
        <w:tabs>
          <w:tab w:val="left" w:pos="6120"/>
          <w:tab w:val="left" w:pos="6827"/>
          <w:tab w:val="left" w:pos="7534"/>
          <w:tab w:val="left" w:pos="8242"/>
          <w:tab w:val="left" w:pos="8950"/>
          <w:tab w:val="left" w:pos="9657"/>
          <w:tab w:val="left" w:pos="10365"/>
          <w:tab w:val="left" w:pos="11072"/>
          <w:tab w:val="left" w:pos="11780"/>
          <w:tab w:val="left" w:pos="12487"/>
          <w:tab w:val="left" w:pos="13195"/>
          <w:tab w:val="left" w:pos="13902"/>
          <w:tab w:val="left" w:pos="14610"/>
          <w:tab w:val="left" w:pos="15317"/>
          <w:tab w:val="left" w:pos="16025"/>
          <w:tab w:val="left" w:pos="16732"/>
          <w:tab w:val="left" w:pos="17440"/>
          <w:tab w:val="left" w:pos="18147"/>
          <w:tab w:val="left" w:pos="18855"/>
          <w:tab w:val="left" w:pos="19562"/>
          <w:tab w:val="left" w:pos="20270"/>
        </w:tabs>
        <w:autoSpaceDE w:val="0"/>
        <w:spacing w:before="113" w:after="113" w:line="480" w:lineRule="auto"/>
        <w:ind w:left="340" w:hanging="340"/>
        <w:rPr>
          <w:lang w:val="en-US"/>
        </w:rPr>
      </w:pPr>
      <w:proofErr w:type="spellStart"/>
      <w:r w:rsidRPr="00D309DD">
        <w:rPr>
          <w:lang w:val="en-US"/>
        </w:rPr>
        <w:t>Macale</w:t>
      </w:r>
      <w:proofErr w:type="spellEnd"/>
      <w:r w:rsidRPr="00D309DD">
        <w:rPr>
          <w:lang w:val="en-US"/>
        </w:rPr>
        <w:t xml:space="preserve"> D, </w:t>
      </w:r>
      <w:proofErr w:type="spellStart"/>
      <w:r w:rsidRPr="00D309DD">
        <w:rPr>
          <w:lang w:val="en-US"/>
        </w:rPr>
        <w:t>Scalici</w:t>
      </w:r>
      <w:proofErr w:type="spellEnd"/>
      <w:r w:rsidRPr="00D309DD">
        <w:rPr>
          <w:lang w:val="en-US"/>
        </w:rPr>
        <w:t xml:space="preserve"> M, </w:t>
      </w:r>
      <w:proofErr w:type="spellStart"/>
      <w:r w:rsidRPr="00D309DD">
        <w:rPr>
          <w:lang w:val="en-US"/>
        </w:rPr>
        <w:t>Venchi</w:t>
      </w:r>
      <w:proofErr w:type="spellEnd"/>
      <w:r w:rsidRPr="00D309DD">
        <w:rPr>
          <w:lang w:val="en-US"/>
        </w:rPr>
        <w:t xml:space="preserve"> A. 2009. </w:t>
      </w:r>
      <w:proofErr w:type="gramStart"/>
      <w:r w:rsidRPr="00D309DD">
        <w:rPr>
          <w:lang w:val="en-US"/>
        </w:rPr>
        <w:t xml:space="preserve">Growth, mortality, and longevity of the Egyptian tortoise </w:t>
      </w:r>
      <w:proofErr w:type="spellStart"/>
      <w:r w:rsidRPr="00D309DD">
        <w:rPr>
          <w:lang w:val="en-US"/>
        </w:rPr>
        <w:t>Testudo</w:t>
      </w:r>
      <w:proofErr w:type="spellEnd"/>
      <w:r w:rsidRPr="00D309DD">
        <w:rPr>
          <w:lang w:val="en-US"/>
        </w:rPr>
        <w:t xml:space="preserve"> </w:t>
      </w:r>
      <w:proofErr w:type="spellStart"/>
      <w:r w:rsidRPr="00D309DD">
        <w:rPr>
          <w:lang w:val="en-US"/>
        </w:rPr>
        <w:t>kleinmanni</w:t>
      </w:r>
      <w:proofErr w:type="spellEnd"/>
      <w:r w:rsidRPr="00D309DD">
        <w:rPr>
          <w:lang w:val="en-US"/>
        </w:rPr>
        <w:t xml:space="preserve"> </w:t>
      </w:r>
      <w:proofErr w:type="spellStart"/>
      <w:r w:rsidRPr="00D309DD">
        <w:rPr>
          <w:lang w:val="en-US"/>
        </w:rPr>
        <w:t>Lortet</w:t>
      </w:r>
      <w:proofErr w:type="spellEnd"/>
      <w:r w:rsidRPr="00D309DD">
        <w:rPr>
          <w:lang w:val="en-US"/>
        </w:rPr>
        <w:t>, 1883.</w:t>
      </w:r>
      <w:proofErr w:type="gramEnd"/>
      <w:r w:rsidRPr="00D309DD">
        <w:rPr>
          <w:lang w:val="en-US"/>
        </w:rPr>
        <w:t xml:space="preserve"> Israeli Journal of Ecology and Evoluti</w:t>
      </w:r>
      <w:r>
        <w:rPr>
          <w:lang w:val="en-US"/>
        </w:rPr>
        <w:t>on 55: 133-147</w:t>
      </w:r>
      <w:r w:rsidRPr="00D309DD">
        <w:rPr>
          <w:lang w:val="en-US"/>
        </w:rPr>
        <w:t xml:space="preserve"> doi.org/10.1560/IJEE.55.2.133</w:t>
      </w:r>
    </w:p>
    <w:p w14:paraId="73264484" w14:textId="77777777" w:rsidR="00D309DD" w:rsidRDefault="00D309DD" w:rsidP="00221A67">
      <w:pPr>
        <w:pStyle w:val="Textodecuerpo"/>
        <w:tabs>
          <w:tab w:val="left" w:pos="6120"/>
          <w:tab w:val="left" w:pos="6827"/>
          <w:tab w:val="left" w:pos="7534"/>
          <w:tab w:val="left" w:pos="8242"/>
          <w:tab w:val="left" w:pos="8950"/>
          <w:tab w:val="left" w:pos="9657"/>
          <w:tab w:val="left" w:pos="10365"/>
          <w:tab w:val="left" w:pos="11072"/>
          <w:tab w:val="left" w:pos="11780"/>
          <w:tab w:val="left" w:pos="12487"/>
          <w:tab w:val="left" w:pos="13195"/>
          <w:tab w:val="left" w:pos="13902"/>
          <w:tab w:val="left" w:pos="14610"/>
          <w:tab w:val="left" w:pos="15317"/>
          <w:tab w:val="left" w:pos="16025"/>
          <w:tab w:val="left" w:pos="16732"/>
          <w:tab w:val="left" w:pos="17440"/>
          <w:tab w:val="left" w:pos="18147"/>
          <w:tab w:val="left" w:pos="18855"/>
          <w:tab w:val="left" w:pos="19562"/>
          <w:tab w:val="left" w:pos="20270"/>
        </w:tabs>
        <w:autoSpaceDE w:val="0"/>
        <w:spacing w:before="113" w:after="113" w:line="480" w:lineRule="auto"/>
        <w:ind w:left="340" w:hanging="340"/>
        <w:rPr>
          <w:color w:val="000000"/>
        </w:rPr>
      </w:pPr>
      <w:r w:rsidRPr="00D309DD">
        <w:rPr>
          <w:color w:val="000000"/>
        </w:rPr>
        <w:t xml:space="preserve">Rodríguez-Caro RC, </w:t>
      </w:r>
      <w:proofErr w:type="spellStart"/>
      <w:r w:rsidRPr="00D309DD">
        <w:rPr>
          <w:color w:val="000000"/>
        </w:rPr>
        <w:t>Gracía</w:t>
      </w:r>
      <w:proofErr w:type="spellEnd"/>
      <w:r w:rsidRPr="00D309DD">
        <w:rPr>
          <w:color w:val="000000"/>
        </w:rPr>
        <w:t xml:space="preserve"> E, Anadón JD, Giménez A. 2013. </w:t>
      </w:r>
      <w:proofErr w:type="spellStart"/>
      <w:r w:rsidRPr="00D309DD">
        <w:rPr>
          <w:color w:val="000000"/>
        </w:rPr>
        <w:t>Maintained</w:t>
      </w:r>
      <w:proofErr w:type="spellEnd"/>
      <w:r w:rsidRPr="00D309DD">
        <w:rPr>
          <w:color w:val="000000"/>
        </w:rPr>
        <w:t xml:space="preserve"> </w:t>
      </w:r>
      <w:proofErr w:type="spellStart"/>
      <w:r w:rsidRPr="00D309DD">
        <w:rPr>
          <w:color w:val="000000"/>
        </w:rPr>
        <w:t>effects</w:t>
      </w:r>
      <w:proofErr w:type="spellEnd"/>
      <w:r w:rsidRPr="00D309DD">
        <w:rPr>
          <w:color w:val="000000"/>
        </w:rPr>
        <w:t xml:space="preserve"> of </w:t>
      </w:r>
      <w:proofErr w:type="spellStart"/>
      <w:r w:rsidRPr="00D309DD">
        <w:rPr>
          <w:color w:val="000000"/>
        </w:rPr>
        <w:t>fire</w:t>
      </w:r>
      <w:proofErr w:type="spellEnd"/>
      <w:r w:rsidRPr="00D309DD">
        <w:rPr>
          <w:color w:val="000000"/>
        </w:rPr>
        <w:t xml:space="preserve"> </w:t>
      </w:r>
      <w:proofErr w:type="spellStart"/>
      <w:r w:rsidRPr="00D309DD">
        <w:rPr>
          <w:color w:val="000000"/>
        </w:rPr>
        <w:t>on</w:t>
      </w:r>
      <w:proofErr w:type="spellEnd"/>
      <w:r w:rsidRPr="00D309DD">
        <w:rPr>
          <w:color w:val="000000"/>
        </w:rPr>
        <w:t xml:space="preserve"> individual </w:t>
      </w:r>
      <w:proofErr w:type="spellStart"/>
      <w:r w:rsidRPr="00D309DD">
        <w:rPr>
          <w:color w:val="000000"/>
        </w:rPr>
        <w:t>growth</w:t>
      </w:r>
      <w:proofErr w:type="spellEnd"/>
      <w:r w:rsidRPr="00D309DD">
        <w:rPr>
          <w:color w:val="000000"/>
        </w:rPr>
        <w:t xml:space="preserve"> and </w:t>
      </w:r>
      <w:proofErr w:type="spellStart"/>
      <w:r w:rsidRPr="00D309DD">
        <w:rPr>
          <w:color w:val="000000"/>
        </w:rPr>
        <w:t>survival</w:t>
      </w:r>
      <w:proofErr w:type="spellEnd"/>
      <w:r w:rsidRPr="00D309DD">
        <w:rPr>
          <w:color w:val="000000"/>
        </w:rPr>
        <w:t xml:space="preserve"> </w:t>
      </w:r>
      <w:proofErr w:type="spellStart"/>
      <w:r w:rsidRPr="00D309DD">
        <w:rPr>
          <w:color w:val="000000"/>
        </w:rPr>
        <w:t>rates</w:t>
      </w:r>
      <w:proofErr w:type="spellEnd"/>
      <w:r w:rsidRPr="00D309DD">
        <w:rPr>
          <w:color w:val="000000"/>
        </w:rPr>
        <w:t xml:space="preserve"> in a </w:t>
      </w:r>
      <w:proofErr w:type="spellStart"/>
      <w:r w:rsidRPr="00D309DD">
        <w:rPr>
          <w:color w:val="000000"/>
        </w:rPr>
        <w:t>spur-thighed</w:t>
      </w:r>
      <w:proofErr w:type="spellEnd"/>
      <w:r w:rsidRPr="00D309DD">
        <w:rPr>
          <w:color w:val="000000"/>
        </w:rPr>
        <w:t xml:space="preserve"> </w:t>
      </w:r>
      <w:proofErr w:type="spellStart"/>
      <w:r w:rsidRPr="00D309DD">
        <w:rPr>
          <w:color w:val="000000"/>
        </w:rPr>
        <w:t>tortoise</w:t>
      </w:r>
      <w:proofErr w:type="spellEnd"/>
      <w:r w:rsidRPr="00D309DD">
        <w:rPr>
          <w:color w:val="000000"/>
        </w:rPr>
        <w:t xml:space="preserve"> </w:t>
      </w:r>
      <w:proofErr w:type="spellStart"/>
      <w:r w:rsidRPr="00D309DD">
        <w:rPr>
          <w:color w:val="000000"/>
        </w:rPr>
        <w:t>population</w:t>
      </w:r>
      <w:proofErr w:type="spellEnd"/>
      <w:r w:rsidRPr="00D309DD">
        <w:rPr>
          <w:color w:val="000000"/>
        </w:rPr>
        <w:t xml:space="preserve">. </w:t>
      </w:r>
      <w:proofErr w:type="spellStart"/>
      <w:r w:rsidRPr="00D309DD">
        <w:rPr>
          <w:color w:val="000000"/>
        </w:rPr>
        <w:t>European</w:t>
      </w:r>
      <w:proofErr w:type="spellEnd"/>
      <w:r w:rsidRPr="00D309DD">
        <w:rPr>
          <w:color w:val="000000"/>
        </w:rPr>
        <w:t xml:space="preserve"> </w:t>
      </w:r>
      <w:proofErr w:type="spellStart"/>
      <w:r w:rsidRPr="00D309DD">
        <w:rPr>
          <w:color w:val="000000"/>
        </w:rPr>
        <w:t>Journal</w:t>
      </w:r>
      <w:proofErr w:type="spellEnd"/>
      <w:r w:rsidRPr="00D309DD">
        <w:rPr>
          <w:color w:val="000000"/>
        </w:rPr>
        <w:t xml:space="preserve"> of </w:t>
      </w:r>
      <w:proofErr w:type="spellStart"/>
      <w:r w:rsidRPr="00D309DD">
        <w:rPr>
          <w:color w:val="000000"/>
        </w:rPr>
        <w:t>Wildlife</w:t>
      </w:r>
      <w:proofErr w:type="spellEnd"/>
      <w:r w:rsidRPr="00D309DD">
        <w:rPr>
          <w:color w:val="000000"/>
        </w:rPr>
        <w:t xml:space="preserve"> </w:t>
      </w:r>
      <w:proofErr w:type="spellStart"/>
      <w:r w:rsidRPr="00D309DD">
        <w:rPr>
          <w:color w:val="000000"/>
        </w:rPr>
        <w:t>Research</w:t>
      </w:r>
      <w:proofErr w:type="spellEnd"/>
      <w:r w:rsidRPr="00D309DD">
        <w:rPr>
          <w:color w:val="000000"/>
        </w:rPr>
        <w:t xml:space="preserve"> 59:911-913 doi.org/10.1007/s10344-013-0764-1.</w:t>
      </w:r>
    </w:p>
    <w:p w14:paraId="40552C7A" w14:textId="75414406" w:rsidR="00C56CE6" w:rsidRPr="00DB69AE" w:rsidRDefault="00E17871" w:rsidP="00221A67">
      <w:pPr>
        <w:pStyle w:val="Textodecuerpo"/>
        <w:tabs>
          <w:tab w:val="left" w:pos="6120"/>
          <w:tab w:val="left" w:pos="6827"/>
          <w:tab w:val="left" w:pos="7534"/>
          <w:tab w:val="left" w:pos="8242"/>
          <w:tab w:val="left" w:pos="8950"/>
          <w:tab w:val="left" w:pos="9657"/>
          <w:tab w:val="left" w:pos="10365"/>
          <w:tab w:val="left" w:pos="11072"/>
          <w:tab w:val="left" w:pos="11780"/>
          <w:tab w:val="left" w:pos="12487"/>
          <w:tab w:val="left" w:pos="13195"/>
          <w:tab w:val="left" w:pos="13902"/>
          <w:tab w:val="left" w:pos="14610"/>
          <w:tab w:val="left" w:pos="15317"/>
          <w:tab w:val="left" w:pos="16025"/>
          <w:tab w:val="left" w:pos="16732"/>
          <w:tab w:val="left" w:pos="17440"/>
          <w:tab w:val="left" w:pos="18147"/>
          <w:tab w:val="left" w:pos="18855"/>
          <w:tab w:val="left" w:pos="19562"/>
          <w:tab w:val="left" w:pos="20270"/>
        </w:tabs>
        <w:autoSpaceDE w:val="0"/>
        <w:spacing w:before="113" w:after="113" w:line="480" w:lineRule="auto"/>
        <w:ind w:left="340" w:hanging="340"/>
        <w:rPr>
          <w:lang w:val="en-US"/>
        </w:rPr>
      </w:pPr>
      <w:proofErr w:type="spellStart"/>
      <w:r w:rsidRPr="00EB57F7">
        <w:rPr>
          <w:lang w:val="en-GB"/>
        </w:rPr>
        <w:t>Zivkov</w:t>
      </w:r>
      <w:proofErr w:type="spellEnd"/>
      <w:r w:rsidRPr="00EB57F7">
        <w:rPr>
          <w:lang w:val="en-GB"/>
        </w:rPr>
        <w:t xml:space="preserve"> M, </w:t>
      </w:r>
      <w:proofErr w:type="spellStart"/>
      <w:r w:rsidRPr="00EB57F7">
        <w:rPr>
          <w:lang w:val="en-GB"/>
        </w:rPr>
        <w:t>Ivanchev</w:t>
      </w:r>
      <w:proofErr w:type="spellEnd"/>
      <w:r w:rsidRPr="00EB57F7">
        <w:rPr>
          <w:lang w:val="en-GB"/>
        </w:rPr>
        <w:t xml:space="preserve"> I, </w:t>
      </w:r>
      <w:proofErr w:type="spellStart"/>
      <w:r w:rsidRPr="00EB57F7">
        <w:rPr>
          <w:lang w:val="en-GB"/>
        </w:rPr>
        <w:t>Raikova-Petrova</w:t>
      </w:r>
      <w:proofErr w:type="spellEnd"/>
      <w:r w:rsidRPr="00EB57F7">
        <w:rPr>
          <w:lang w:val="en-GB"/>
        </w:rPr>
        <w:t xml:space="preserve"> G, </w:t>
      </w:r>
      <w:proofErr w:type="spellStart"/>
      <w:r w:rsidRPr="00EB57F7">
        <w:rPr>
          <w:lang w:val="en-GB"/>
        </w:rPr>
        <w:t>Trichkova</w:t>
      </w:r>
      <w:proofErr w:type="spellEnd"/>
      <w:r w:rsidRPr="00EB57F7">
        <w:rPr>
          <w:lang w:val="en-GB"/>
        </w:rPr>
        <w:t xml:space="preserve"> T. 2007. First data on the population structure, growth rate and ontogenetic </w:t>
      </w:r>
      <w:proofErr w:type="spellStart"/>
      <w:r w:rsidRPr="00EB57F7">
        <w:rPr>
          <w:lang w:val="en-GB"/>
        </w:rPr>
        <w:t>allometry</w:t>
      </w:r>
      <w:proofErr w:type="spellEnd"/>
      <w:r w:rsidRPr="00EB57F7">
        <w:rPr>
          <w:lang w:val="en-GB"/>
        </w:rPr>
        <w:t xml:space="preserve"> of the tortoise </w:t>
      </w:r>
      <w:proofErr w:type="spellStart"/>
      <w:r w:rsidRPr="00EB57F7">
        <w:rPr>
          <w:i/>
          <w:lang w:val="en-GB"/>
        </w:rPr>
        <w:t>Testudo</w:t>
      </w:r>
      <w:proofErr w:type="spellEnd"/>
      <w:r w:rsidRPr="00EB57F7">
        <w:rPr>
          <w:i/>
          <w:lang w:val="en-GB"/>
        </w:rPr>
        <w:t xml:space="preserve"> </w:t>
      </w:r>
      <w:proofErr w:type="spellStart"/>
      <w:r w:rsidRPr="00EB57F7">
        <w:rPr>
          <w:i/>
          <w:lang w:val="en-GB"/>
        </w:rPr>
        <w:t>hermanni</w:t>
      </w:r>
      <w:proofErr w:type="spellEnd"/>
      <w:r w:rsidRPr="00EB57F7">
        <w:rPr>
          <w:lang w:val="en-GB"/>
        </w:rPr>
        <w:t xml:space="preserve"> in eastern </w:t>
      </w:r>
      <w:proofErr w:type="spellStart"/>
      <w:r w:rsidRPr="00EB57F7">
        <w:rPr>
          <w:lang w:val="en-GB"/>
        </w:rPr>
        <w:t>Stara</w:t>
      </w:r>
      <w:proofErr w:type="spellEnd"/>
      <w:r w:rsidRPr="00EB57F7">
        <w:rPr>
          <w:lang w:val="en-GB"/>
        </w:rPr>
        <w:t xml:space="preserve"> </w:t>
      </w:r>
      <w:proofErr w:type="spellStart"/>
      <w:r w:rsidRPr="00EB57F7">
        <w:rPr>
          <w:lang w:val="en-GB"/>
        </w:rPr>
        <w:t>Planina</w:t>
      </w:r>
      <w:proofErr w:type="spellEnd"/>
      <w:r w:rsidRPr="00EB57F7">
        <w:rPr>
          <w:lang w:val="en-GB"/>
        </w:rPr>
        <w:t xml:space="preserve"> (Bulgaria) </w:t>
      </w:r>
      <w:r w:rsidRPr="00EB57F7">
        <w:rPr>
          <w:i/>
          <w:lang w:val="en-GB"/>
        </w:rPr>
        <w:t xml:space="preserve">- </w:t>
      </w:r>
      <w:proofErr w:type="spellStart"/>
      <w:r w:rsidRPr="00EB57F7">
        <w:rPr>
          <w:i/>
          <w:lang w:val="en-GB"/>
        </w:rPr>
        <w:t>Comptes</w:t>
      </w:r>
      <w:proofErr w:type="spellEnd"/>
      <w:r w:rsidRPr="00EB57F7">
        <w:rPr>
          <w:i/>
          <w:lang w:val="en-GB"/>
        </w:rPr>
        <w:t xml:space="preserve"> </w:t>
      </w:r>
      <w:proofErr w:type="spellStart"/>
      <w:r w:rsidRPr="00EB57F7">
        <w:rPr>
          <w:i/>
          <w:lang w:val="en-GB"/>
        </w:rPr>
        <w:t>Rendus</w:t>
      </w:r>
      <w:proofErr w:type="spellEnd"/>
      <w:r w:rsidRPr="00EB57F7">
        <w:rPr>
          <w:i/>
          <w:lang w:val="en-GB"/>
        </w:rPr>
        <w:t xml:space="preserve"> de </w:t>
      </w:r>
      <w:proofErr w:type="spellStart"/>
      <w:r w:rsidRPr="00EB57F7">
        <w:rPr>
          <w:i/>
          <w:lang w:val="en-GB"/>
        </w:rPr>
        <w:t>L’Academie</w:t>
      </w:r>
      <w:proofErr w:type="spellEnd"/>
      <w:r w:rsidRPr="00EB57F7">
        <w:rPr>
          <w:i/>
          <w:lang w:val="en-GB"/>
        </w:rPr>
        <w:t xml:space="preserve"> </w:t>
      </w:r>
      <w:proofErr w:type="spellStart"/>
      <w:r w:rsidRPr="00EB57F7">
        <w:rPr>
          <w:i/>
          <w:lang w:val="en-GB"/>
        </w:rPr>
        <w:t>Bulgare</w:t>
      </w:r>
      <w:proofErr w:type="spellEnd"/>
      <w:r w:rsidRPr="00EB57F7">
        <w:rPr>
          <w:i/>
          <w:lang w:val="en-GB"/>
        </w:rPr>
        <w:t xml:space="preserve"> des Sciences</w:t>
      </w:r>
      <w:r w:rsidRPr="00EB57F7">
        <w:rPr>
          <w:lang w:val="en-GB"/>
        </w:rPr>
        <w:t xml:space="preserve"> </w:t>
      </w:r>
      <w:r w:rsidRPr="00EB57F7">
        <w:rPr>
          <w:b/>
          <w:lang w:val="en-GB"/>
        </w:rPr>
        <w:t>60:</w:t>
      </w:r>
      <w:r w:rsidRPr="00EB57F7">
        <w:rPr>
          <w:lang w:val="en-GB"/>
        </w:rPr>
        <w:t>1015-1022</w:t>
      </w:r>
    </w:p>
    <w:sectPr w:rsidR="00C56CE6" w:rsidRPr="00DB6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25"/>
    <w:rsid w:val="00064CAE"/>
    <w:rsid w:val="00152268"/>
    <w:rsid w:val="0016153F"/>
    <w:rsid w:val="001B752C"/>
    <w:rsid w:val="0020457D"/>
    <w:rsid w:val="00221A67"/>
    <w:rsid w:val="0024431A"/>
    <w:rsid w:val="00257C0D"/>
    <w:rsid w:val="0035472B"/>
    <w:rsid w:val="003D3F17"/>
    <w:rsid w:val="00417225"/>
    <w:rsid w:val="0068555A"/>
    <w:rsid w:val="006E51DF"/>
    <w:rsid w:val="00733CF7"/>
    <w:rsid w:val="00A15D80"/>
    <w:rsid w:val="00A44828"/>
    <w:rsid w:val="00A47289"/>
    <w:rsid w:val="00B23F5E"/>
    <w:rsid w:val="00B34FF2"/>
    <w:rsid w:val="00B524D3"/>
    <w:rsid w:val="00B91864"/>
    <w:rsid w:val="00B937C2"/>
    <w:rsid w:val="00BC3A9B"/>
    <w:rsid w:val="00C56CE6"/>
    <w:rsid w:val="00C6297A"/>
    <w:rsid w:val="00D240B8"/>
    <w:rsid w:val="00D309DD"/>
    <w:rsid w:val="00D36933"/>
    <w:rsid w:val="00D803E5"/>
    <w:rsid w:val="00DB2415"/>
    <w:rsid w:val="00DB69AE"/>
    <w:rsid w:val="00DC0223"/>
    <w:rsid w:val="00E17871"/>
    <w:rsid w:val="00F02856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E36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99"/>
    <w:rsid w:val="00C56CE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C56CE6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6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615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uiPriority w:val="99"/>
    <w:rsid w:val="00C56CE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C56CE6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864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61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14/relationships/chartEx" Target="charts/chartEx1.xm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Ex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oberto\trabajo%20rob%202018\Paper%20par&#225;sitos\densidad%20poblacional%20y%20K.xlsx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KTORTU!$R$40:$R$64</cx:f>
        <cx:lvl ptCount="25" formatCode="Estándar">
          <cx:pt idx="0">0.001900184906616409</cx:pt>
          <cx:pt idx="1">0.01852610278734515</cx:pt>
          <cx:pt idx="2">0.059532700568040629</cx:pt>
          <cx:pt idx="3">0.06124139070585638</cx:pt>
          <cx:pt idx="4">0.072297546349510619</cx:pt>
          <cx:pt idx="5">0.074354009638443908</cx:pt>
          <cx:pt idx="6">0.075918835871549767</cx:pt>
          <cx:pt idx="7">0.078911349531937819</cx:pt>
          <cx:pt idx="8">0.080364220390670316</cx:pt>
          <cx:pt idx="9">0.083611200141011366</cx:pt>
          <cx:pt idx="10">0.085144629065119465</cx:pt>
          <cx:pt idx="11">0.090658562411427571</cx:pt>
          <cx:pt idx="12">0.10039760920224344</cx:pt>
          <cx:pt idx="13">0.10483450524958633</cx:pt>
          <cx:pt idx="14">0.10533619979798953</cx:pt>
          <cx:pt idx="15">0.11480085161953077</cx:pt>
          <cx:pt idx="16">0.11512737320079369</cx:pt>
          <cx:pt idx="17">0.12609591213195631</cx:pt>
          <cx:pt idx="18">0.12634569191150183</cx:pt>
          <cx:pt idx="19">0.13625842027207127</cx:pt>
          <cx:pt idx="20">0.14653335990786842</cx:pt>
          <cx:pt idx="21">0.16610078135318204</cx:pt>
          <cx:pt idx="22">0.1834056657614746</cx:pt>
          <cx:pt idx="23">0.21344508974595944</cx:pt>
          <cx:pt idx="24">0.40055659170565394</cx:pt>
        </cx:lvl>
      </cx:numDim>
    </cx:data>
    <cx:data id="1">
      <cx:numDim type="val">
        <cx:f>KTORTU!$R$22:$R$39</cx:f>
        <cx:lvl ptCount="18" formatCode="Estándar">
          <cx:pt idx="0">0.032409219987856459</cx:pt>
          <cx:pt idx="1">0.037231954396312494</cx:pt>
          <cx:pt idx="2">0.037456366442363179</cx:pt>
          <cx:pt idx="3">0.041194934556443574</cx:pt>
          <cx:pt idx="4">0.045817821152401211</cx:pt>
          <cx:pt idx="5">0.055408881655457057</cx:pt>
          <cx:pt idx="6">0.05555186629138404</cx:pt>
          <cx:pt idx="7">0.059317174777756956</cx:pt>
          <cx:pt idx="8">0.06735769249156541</cx:pt>
          <cx:pt idx="9">0.070322893832239636</cx:pt>
          <cx:pt idx="10">0.078512214885771106</cx:pt>
          <cx:pt idx="11">0.086669089713472328</cx:pt>
          <cx:pt idx="12">0.087575636998050835</cx:pt>
          <cx:pt idx="13">0.093600127181892173</cx:pt>
          <cx:pt idx="14">0.11080572304728532</cx:pt>
          <cx:pt idx="15">0.12362071778872416</cx:pt>
          <cx:pt idx="16">0.12413410436836141</cx:pt>
          <cx:pt idx="17">0.32676912353419751</cx:pt>
        </cx:lvl>
      </cx:numDim>
    </cx:data>
    <cx:data id="2">
      <cx:numDim type="val">
        <cx:f>KTORTU!$R$2:$R$21</cx:f>
        <cx:lvl ptCount="20" formatCode="Estándar">
          <cx:pt idx="0">0.012037247092758212</cx:pt>
          <cx:pt idx="1">0.036440557920603099</cx:pt>
          <cx:pt idx="2">0.066181829924205376</cx:pt>
          <cx:pt idx="3">0.06961461307985696</cx:pt>
          <cx:pt idx="4">0.072559905887444265</cx:pt>
          <cx:pt idx="5">0.074870011275710982</cx:pt>
          <cx:pt idx="6">0.079474060892229595</cx:pt>
          <cx:pt idx="7">0.081469499537023399</cx:pt>
          <cx:pt idx="8">0.081908508597721377</cx:pt>
          <cx:pt idx="9">0.090866666493493134</cx:pt>
          <cx:pt idx="10">0.097327586674932631</cx:pt>
          <cx:pt idx="11">0.10098226065619</cx:pt>
          <cx:pt idx="12">0.10562061528105102</cx:pt>
          <cx:pt idx="13">0.11702531696196943</cx:pt>
          <cx:pt idx="14">0.12061079254385836</cx:pt>
          <cx:pt idx="15">0.12299517777187298</cx:pt>
          <cx:pt idx="16">0.15171924614553156</cx:pt>
          <cx:pt idx="17">0.25120004555634584</cx:pt>
          <cx:pt idx="18">0.2911572205670101</cx:pt>
          <cx:pt idx="19">0.45590042498144184</cx:pt>
        </cx:lvl>
      </cx:numDim>
    </cx:data>
  </cx:chartData>
  <cx:chart>
    <cx:plotArea>
      <cx:plotAreaRegion>
        <cx:series layoutId="boxWhisker" uniqueId="{391697EE-7502-4E25-BE0F-1958AE49AF04}" formatIdx="1">
          <cx:tx>
            <cx:txData>
              <cx:f/>
              <cx:v>Low</cx:v>
            </cx:txData>
          </cx:tx>
          <cx:dataId val="0"/>
          <cx:layoutPr>
            <cx:visibility meanLine="0" meanMarker="0" nonoutliers="0" outliers="1"/>
            <cx:statistics quartileMethod="exclusive"/>
          </cx:layoutPr>
        </cx:series>
        <cx:series layoutId="boxWhisker" uniqueId="{00000002-44BC-4389-96CC-153531D939F5}">
          <cx:tx>
            <cx:txData>
              <cx:f/>
              <cx:v>Intermediate</cx:v>
            </cx:txData>
          </cx:tx>
          <cx:dataId val="1"/>
          <cx:layoutPr>
            <cx:visibility meanMarker="0" nonoutliers="0" outliers="1"/>
            <cx:statistics quartileMethod="exclusive"/>
          </cx:layoutPr>
        </cx:series>
        <cx:series layoutId="boxWhisker" uniqueId="{00000003-44BC-4389-96CC-153531D939F5}">
          <cx:tx>
            <cx:txData>
              <cx:f/>
              <cx:v>High</cx:v>
            </cx:txData>
          </cx:tx>
          <cx:dataId val="2"/>
          <cx:layoutPr>
            <cx:visibility meanMarker="0" nonoutliers="0"/>
            <cx:statistics quartileMethod="exclusive"/>
          </cx:layoutPr>
        </cx:series>
      </cx:plotAreaRegion>
      <cx:axis id="0" hidden="1">
        <cx:catScaling gapWidth="1"/>
        <cx:tickLabels/>
      </cx:axis>
      <cx:axis id="1">
        <cx:valScaling/>
        <cx:title>
          <cx:tx>
            <cx:rich>
              <a:bodyPr spcFirstLastPara="1" vertOverflow="ellipsis" wrap="square" lIns="0" tIns="0" rIns="0" bIns="0" anchor="ctr" anchorCtr="1"/>
              <a:lstStyle/>
              <a:p>
                <a:pPr algn="ctr">
                  <a:defRPr/>
                </a:pPr>
                <a:r>
                  <a:rPr lang="es-ES"/>
                  <a:t>Individual growth rate (k, mm/year)</a:t>
                </a:r>
              </a:p>
            </cx:rich>
          </cx:tx>
        </cx:title>
        <cx:majorGridlines/>
        <cx:tickLabels/>
      </cx:axis>
    </cx:plotArea>
    <cx:legend pos="r" align="ctr" overlay="0"/>
  </cx:chart>
  <cx:spPr>
    <a:ln>
      <a:noFill/>
    </a:ln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4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 rot="-60000000" vert="horz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 rot="-60000000" vert="horz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 rot="0" vert="horz"/>
  </cs:title>
  <cs:trendline>
    <cs:lnRef idx="0"/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 rot="-60000000" vert="horz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Rodríguez</dc:creator>
  <cp:keywords/>
  <dc:description/>
  <cp:lastModifiedBy>Julieta Benitez Malvido</cp:lastModifiedBy>
  <cp:revision>2</cp:revision>
  <dcterms:created xsi:type="dcterms:W3CDTF">2019-05-02T01:01:00Z</dcterms:created>
  <dcterms:modified xsi:type="dcterms:W3CDTF">2019-05-02T01:01:00Z</dcterms:modified>
</cp:coreProperties>
</file>