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4D" w:rsidRDefault="00B14D92" w:rsidP="0026534D">
      <w:pPr>
        <w:kinsoku w:val="0"/>
        <w:wordWrap/>
        <w:overflowPunct w:val="0"/>
        <w:snapToGrid w:val="0"/>
        <w:spacing w:line="360" w:lineRule="auto"/>
        <w:rPr>
          <w:rFonts w:ascii="Times New Roman"/>
          <w:szCs w:val="20"/>
        </w:rPr>
      </w:pPr>
      <w:r w:rsidRPr="00B14D92">
        <w:rPr>
          <w:rFonts w:ascii="Times New Roman"/>
          <w:sz w:val="22"/>
        </w:rPr>
        <w:t xml:space="preserve">Supplementary table </w:t>
      </w:r>
      <w:r w:rsidR="00C07D03">
        <w:rPr>
          <w:rFonts w:ascii="Times New Roman"/>
          <w:sz w:val="22"/>
        </w:rPr>
        <w:t>S</w:t>
      </w:r>
      <w:r w:rsidR="005420C8">
        <w:rPr>
          <w:rFonts w:ascii="Times New Roman"/>
          <w:sz w:val="22"/>
        </w:rPr>
        <w:t>7</w:t>
      </w:r>
      <w:r>
        <w:rPr>
          <w:rFonts w:ascii="Times New Roman"/>
          <w:sz w:val="22"/>
        </w:rPr>
        <w:t>.</w:t>
      </w:r>
      <w:r w:rsidR="0026534D" w:rsidRPr="00866601">
        <w:rPr>
          <w:rFonts w:ascii="Times New Roman"/>
          <w:kern w:val="0"/>
          <w:sz w:val="22"/>
          <w:szCs w:val="22"/>
        </w:rPr>
        <w:t xml:space="preserve"> </w:t>
      </w:r>
      <w:r w:rsidR="0026534D" w:rsidRPr="00866601">
        <w:rPr>
          <w:rFonts w:ascii="Times New Roman"/>
          <w:sz w:val="22"/>
          <w:szCs w:val="22"/>
        </w:rPr>
        <w:t xml:space="preserve">Effect of </w:t>
      </w:r>
      <w:r w:rsidR="0026534D">
        <w:rPr>
          <w:rFonts w:ascii="Times New Roman"/>
          <w:sz w:val="22"/>
          <w:szCs w:val="22"/>
        </w:rPr>
        <w:t>zona-free embryo number</w:t>
      </w:r>
      <w:r w:rsidR="0026534D" w:rsidRPr="00866601">
        <w:rPr>
          <w:rFonts w:ascii="Times New Roman"/>
          <w:sz w:val="22"/>
          <w:szCs w:val="22"/>
        </w:rPr>
        <w:t xml:space="preserve"> on </w:t>
      </w:r>
      <w:r w:rsidR="0026534D">
        <w:rPr>
          <w:rFonts w:ascii="Times New Roman"/>
          <w:sz w:val="22"/>
          <w:szCs w:val="22"/>
        </w:rPr>
        <w:t xml:space="preserve">blastocyst diameter </w:t>
      </w:r>
      <w:r w:rsidR="0026534D" w:rsidRPr="00866601">
        <w:rPr>
          <w:rFonts w:ascii="Times New Roman"/>
          <w:sz w:val="22"/>
          <w:szCs w:val="22"/>
        </w:rPr>
        <w:t xml:space="preserve">in </w:t>
      </w:r>
      <w:r w:rsidR="0026534D">
        <w:rPr>
          <w:rFonts w:ascii="Times New Roman"/>
          <w:sz w:val="22"/>
          <w:szCs w:val="22"/>
        </w:rPr>
        <w:t>aggregated-</w:t>
      </w:r>
      <w:r w:rsidR="0026534D" w:rsidRPr="00866601">
        <w:rPr>
          <w:rFonts w:ascii="Times New Roman"/>
          <w:sz w:val="22"/>
          <w:szCs w:val="22"/>
        </w:rPr>
        <w:t xml:space="preserve">porcine </w:t>
      </w:r>
      <w:r w:rsidR="005420C8">
        <w:rPr>
          <w:rFonts w:ascii="Times New Roman"/>
          <w:sz w:val="22"/>
          <w:szCs w:val="22"/>
        </w:rPr>
        <w:t>IVF</w:t>
      </w:r>
      <w:r w:rsidR="0026534D">
        <w:rPr>
          <w:rFonts w:ascii="Times New Roman"/>
          <w:sz w:val="22"/>
          <w:szCs w:val="22"/>
        </w:rPr>
        <w:t xml:space="preserve"> blastocysts</w:t>
      </w:r>
    </w:p>
    <w:tbl>
      <w:tblPr>
        <w:tblW w:w="9000" w:type="dxa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6"/>
        <w:gridCol w:w="2552"/>
        <w:gridCol w:w="1724"/>
        <w:gridCol w:w="1724"/>
        <w:gridCol w:w="1724"/>
      </w:tblGrid>
      <w:tr w:rsidR="0026534D" w:rsidRPr="001F325A" w:rsidTr="00454492">
        <w:trPr>
          <w:trHeight w:val="295"/>
        </w:trPr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534D" w:rsidRPr="001F325A" w:rsidRDefault="0026534D" w:rsidP="00454492">
            <w:pPr>
              <w:widowControl/>
              <w:kinsoku w:val="0"/>
              <w:wordWrap/>
              <w:overflowPunct w:val="0"/>
              <w:snapToGrid w:val="0"/>
              <w:jc w:val="center"/>
              <w:textAlignment w:val="center"/>
              <w:rPr>
                <w:rFonts w:ascii="Times New Roman" w:eastAsia="굴림"/>
                <w:kern w:val="0"/>
                <w:szCs w:val="20"/>
              </w:rPr>
            </w:pPr>
            <w:r>
              <w:rPr>
                <w:rFonts w:ascii="Times New Roman" w:eastAsia="굴림" w:hint="eastAsia"/>
                <w:bCs/>
                <w:color w:val="000000"/>
                <w:kern w:val="24"/>
                <w:szCs w:val="20"/>
              </w:rPr>
              <w:t>Group</w:t>
            </w:r>
            <w:r>
              <w:rPr>
                <w:rFonts w:ascii="Times New Roman" w:eastAsia="굴림"/>
                <w:bCs/>
                <w:color w:val="000000"/>
                <w:kern w:val="24"/>
                <w:szCs w:val="20"/>
              </w:rPr>
              <w:t>s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534D" w:rsidRPr="001F325A" w:rsidRDefault="0026534D" w:rsidP="00454492">
            <w:pPr>
              <w:widowControl/>
              <w:kinsoku w:val="0"/>
              <w:wordWrap/>
              <w:overflowPunct w:val="0"/>
              <w:snapToGrid w:val="0"/>
              <w:jc w:val="center"/>
              <w:textAlignment w:val="center"/>
              <w:rPr>
                <w:rFonts w:ascii="Times New Roman" w:eastAsia="굴림"/>
                <w:kern w:val="0"/>
                <w:szCs w:val="20"/>
              </w:rPr>
            </w:pPr>
            <w:r w:rsidRPr="001F325A">
              <w:rPr>
                <w:rFonts w:ascii="Times New Roman" w:eastAsia="굴림"/>
                <w:bCs/>
                <w:color w:val="000000"/>
                <w:kern w:val="24"/>
                <w:szCs w:val="20"/>
              </w:rPr>
              <w:t>No. of embryos</w:t>
            </w:r>
            <w:r>
              <w:rPr>
                <w:rFonts w:ascii="Times New Roman" w:eastAsia="굴림"/>
                <w:bCs/>
                <w:color w:val="000000"/>
                <w:kern w:val="24"/>
                <w:szCs w:val="20"/>
              </w:rPr>
              <w:t xml:space="preserve"> e</w:t>
            </w:r>
            <w:r w:rsidRPr="001F325A">
              <w:rPr>
                <w:rFonts w:ascii="Times New Roman" w:eastAsia="굴림"/>
                <w:bCs/>
                <w:color w:val="000000"/>
                <w:kern w:val="24"/>
                <w:szCs w:val="20"/>
              </w:rPr>
              <w:t>xamined</w:t>
            </w:r>
          </w:p>
        </w:tc>
        <w:tc>
          <w:tcPr>
            <w:tcW w:w="517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534D" w:rsidRPr="001F325A" w:rsidRDefault="0026534D" w:rsidP="00454492">
            <w:pPr>
              <w:widowControl/>
              <w:kinsoku w:val="0"/>
              <w:wordWrap/>
              <w:overflowPunct w:val="0"/>
              <w:snapToGrid w:val="0"/>
              <w:jc w:val="center"/>
              <w:textAlignment w:val="center"/>
              <w:rPr>
                <w:rFonts w:ascii="Times New Roman" w:eastAsia="굴림"/>
                <w:kern w:val="0"/>
                <w:szCs w:val="20"/>
              </w:rPr>
            </w:pPr>
            <w:r w:rsidRPr="001F325A">
              <w:rPr>
                <w:rFonts w:ascii="Times New Roman" w:eastAsia="굴림"/>
                <w:bCs/>
                <w:color w:val="000000"/>
                <w:kern w:val="24"/>
                <w:szCs w:val="20"/>
              </w:rPr>
              <w:t>Blastocyst</w:t>
            </w:r>
            <w:r>
              <w:rPr>
                <w:rFonts w:ascii="Times New Roman" w:eastAsia="굴림"/>
                <w:bCs/>
                <w:color w:val="000000"/>
                <w:kern w:val="24"/>
                <w:szCs w:val="20"/>
              </w:rPr>
              <w:t xml:space="preserve"> diameter (%)</w:t>
            </w:r>
          </w:p>
        </w:tc>
      </w:tr>
      <w:tr w:rsidR="0026534D" w:rsidRPr="001F325A" w:rsidTr="00454492">
        <w:trPr>
          <w:trHeight w:val="294"/>
        </w:trPr>
        <w:tc>
          <w:tcPr>
            <w:tcW w:w="1276" w:type="dxa"/>
            <w:vMerge/>
            <w:shd w:val="clear" w:color="auto" w:fill="auto"/>
            <w:vAlign w:val="center"/>
          </w:tcPr>
          <w:p w:rsidR="0026534D" w:rsidRDefault="0026534D" w:rsidP="00454492">
            <w:pPr>
              <w:widowControl/>
              <w:kinsoku w:val="0"/>
              <w:wordWrap/>
              <w:overflowPunct w:val="0"/>
              <w:snapToGrid w:val="0"/>
              <w:jc w:val="center"/>
              <w:textAlignment w:val="center"/>
              <w:rPr>
                <w:rFonts w:ascii="Times New Roman" w:eastAsia="굴림"/>
                <w:bCs/>
                <w:color w:val="000000"/>
                <w:kern w:val="24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26534D" w:rsidRDefault="0026534D" w:rsidP="00454492">
            <w:pPr>
              <w:widowControl/>
              <w:kinsoku w:val="0"/>
              <w:wordWrap/>
              <w:overflowPunct w:val="0"/>
              <w:snapToGrid w:val="0"/>
              <w:jc w:val="center"/>
              <w:textAlignment w:val="center"/>
              <w:rPr>
                <w:rFonts w:ascii="Times New Roman" w:eastAsia="굴림"/>
                <w:bCs/>
                <w:color w:val="000000"/>
                <w:kern w:val="24"/>
                <w:szCs w:val="20"/>
              </w:rPr>
            </w:pPr>
          </w:p>
        </w:tc>
        <w:tc>
          <w:tcPr>
            <w:tcW w:w="1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534D" w:rsidRPr="001F325A" w:rsidRDefault="0026534D" w:rsidP="00454492">
            <w:pPr>
              <w:widowControl/>
              <w:kinsoku w:val="0"/>
              <w:wordWrap/>
              <w:overflowPunct w:val="0"/>
              <w:snapToGrid w:val="0"/>
              <w:jc w:val="center"/>
              <w:textAlignment w:val="center"/>
              <w:rPr>
                <w:rFonts w:ascii="Times New Roman" w:eastAsia="굴림"/>
                <w:bCs/>
                <w:color w:val="000000"/>
                <w:kern w:val="24"/>
                <w:szCs w:val="20"/>
              </w:rPr>
            </w:pPr>
            <w:r>
              <w:rPr>
                <w:rFonts w:ascii="Times New Roman" w:eastAsia="굴림"/>
                <w:bCs/>
                <w:color w:val="000000"/>
                <w:kern w:val="24"/>
                <w:szCs w:val="20"/>
              </w:rPr>
              <w:t>100 um - 199 um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534D" w:rsidRPr="001F325A" w:rsidRDefault="0026534D" w:rsidP="00454492">
            <w:pPr>
              <w:widowControl/>
              <w:kinsoku w:val="0"/>
              <w:wordWrap/>
              <w:overflowPunct w:val="0"/>
              <w:snapToGrid w:val="0"/>
              <w:jc w:val="center"/>
              <w:textAlignment w:val="center"/>
              <w:rPr>
                <w:rFonts w:ascii="Times New Roman" w:eastAsia="굴림"/>
                <w:bCs/>
                <w:color w:val="000000"/>
                <w:kern w:val="24"/>
                <w:szCs w:val="20"/>
              </w:rPr>
            </w:pPr>
            <w:r>
              <w:rPr>
                <w:rFonts w:ascii="Times New Roman" w:eastAsia="굴림"/>
                <w:bCs/>
                <w:color w:val="000000"/>
                <w:kern w:val="24"/>
                <w:szCs w:val="20"/>
              </w:rPr>
              <w:t>200 um – 299 um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534D" w:rsidRPr="001F325A" w:rsidRDefault="0026534D" w:rsidP="00454492">
            <w:pPr>
              <w:widowControl/>
              <w:kinsoku w:val="0"/>
              <w:wordWrap/>
              <w:overflowPunct w:val="0"/>
              <w:snapToGrid w:val="0"/>
              <w:jc w:val="center"/>
              <w:textAlignment w:val="center"/>
              <w:rPr>
                <w:rFonts w:ascii="Times New Roman" w:eastAsia="굴림"/>
                <w:bCs/>
                <w:color w:val="000000"/>
                <w:kern w:val="24"/>
                <w:szCs w:val="20"/>
              </w:rPr>
            </w:pPr>
            <w:r>
              <w:rPr>
                <w:rFonts w:ascii="굴림" w:eastAsia="굴림" w:hAnsi="굴림" w:hint="eastAsia"/>
                <w:bCs/>
                <w:color w:val="000000"/>
                <w:kern w:val="24"/>
                <w:szCs w:val="20"/>
              </w:rPr>
              <w:t>≥</w:t>
            </w:r>
            <w:r>
              <w:rPr>
                <w:rFonts w:ascii="Times New Roman" w:eastAsia="굴림" w:hint="eastAsia"/>
                <w:bCs/>
                <w:color w:val="000000"/>
                <w:kern w:val="24"/>
                <w:szCs w:val="20"/>
              </w:rPr>
              <w:t xml:space="preserve"> 300 um</w:t>
            </w:r>
          </w:p>
        </w:tc>
      </w:tr>
      <w:tr w:rsidR="0026534D" w:rsidRPr="001F325A" w:rsidTr="00454492">
        <w:trPr>
          <w:trHeight w:val="373"/>
        </w:trPr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tcMar>
              <w:top w:w="69" w:type="dxa"/>
              <w:left w:w="132" w:type="dxa"/>
              <w:bottom w:w="69" w:type="dxa"/>
              <w:right w:w="132" w:type="dxa"/>
            </w:tcMar>
            <w:vAlign w:val="center"/>
          </w:tcPr>
          <w:p w:rsidR="0026534D" w:rsidRPr="001F325A" w:rsidRDefault="005420C8" w:rsidP="00454492">
            <w:pPr>
              <w:widowControl/>
              <w:kinsoku w:val="0"/>
              <w:wordWrap/>
              <w:overflowPunct w:val="0"/>
              <w:snapToGrid w:val="0"/>
              <w:jc w:val="center"/>
              <w:textAlignment w:val="center"/>
              <w:rPr>
                <w:rFonts w:ascii="Times New Roman" w:eastAsia="굴림"/>
                <w:kern w:val="0"/>
                <w:szCs w:val="20"/>
              </w:rPr>
            </w:pPr>
            <w:r>
              <w:rPr>
                <w:rFonts w:ascii="Times New Roman" w:eastAsia="굴림"/>
                <w:kern w:val="0"/>
                <w:szCs w:val="20"/>
              </w:rPr>
              <w:t>1X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34D" w:rsidRPr="001F325A" w:rsidRDefault="005420C8" w:rsidP="00454492">
            <w:pPr>
              <w:widowControl/>
              <w:kinsoku w:val="0"/>
              <w:wordWrap/>
              <w:overflowPunct w:val="0"/>
              <w:snapToGrid w:val="0"/>
              <w:jc w:val="center"/>
              <w:textAlignment w:val="center"/>
              <w:rPr>
                <w:rFonts w:ascii="Times New Roman" w:eastAsia="굴림"/>
                <w:kern w:val="0"/>
                <w:szCs w:val="20"/>
              </w:rPr>
            </w:pPr>
            <w:r>
              <w:rPr>
                <w:rFonts w:ascii="Times New Roman" w:eastAsia="굴림"/>
                <w:kern w:val="0"/>
                <w:szCs w:val="20"/>
              </w:rPr>
              <w:t>59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34D" w:rsidRPr="001F325A" w:rsidRDefault="005420C8" w:rsidP="005420C8">
            <w:pPr>
              <w:widowControl/>
              <w:kinsoku w:val="0"/>
              <w:wordWrap/>
              <w:overflowPunct w:val="0"/>
              <w:snapToGrid w:val="0"/>
              <w:jc w:val="center"/>
              <w:textAlignment w:val="center"/>
              <w:rPr>
                <w:rFonts w:ascii="Times New Roman" w:eastAsia="굴림"/>
                <w:kern w:val="0"/>
                <w:szCs w:val="20"/>
              </w:rPr>
            </w:pPr>
            <w:r>
              <w:rPr>
                <w:rFonts w:ascii="Times New Roman" w:eastAsia="굴림"/>
                <w:kern w:val="0"/>
                <w:szCs w:val="20"/>
              </w:rPr>
              <w:t>37.9</w:t>
            </w:r>
            <w:r w:rsidR="0026534D" w:rsidRPr="00111E0D">
              <w:rPr>
                <w:rFonts w:ascii="Times New Roman" w:eastAsia="굴림"/>
                <w:bCs/>
                <w:kern w:val="24"/>
                <w:szCs w:val="20"/>
              </w:rPr>
              <w:t>±</w:t>
            </w:r>
            <w:r>
              <w:rPr>
                <w:rFonts w:ascii="Times New Roman" w:eastAsia="굴림"/>
                <w:bCs/>
                <w:kern w:val="24"/>
                <w:szCs w:val="20"/>
              </w:rPr>
              <w:t>4.1</w:t>
            </w:r>
            <w:r w:rsidR="0026534D">
              <w:rPr>
                <w:rFonts w:ascii="Times New Roman" w:eastAsia="굴림"/>
                <w:bCs/>
                <w:kern w:val="24"/>
                <w:position w:val="6"/>
                <w:szCs w:val="20"/>
                <w:vertAlign w:val="superscript"/>
              </w:rPr>
              <w:t>a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534D" w:rsidRPr="001F325A" w:rsidRDefault="005420C8" w:rsidP="00F57060">
            <w:pPr>
              <w:kinsoku w:val="0"/>
              <w:overflowPunct w:val="0"/>
              <w:snapToGrid w:val="0"/>
              <w:jc w:val="center"/>
              <w:textAlignment w:val="center"/>
              <w:rPr>
                <w:rFonts w:ascii="Times New Roman" w:eastAsia="굴림"/>
                <w:kern w:val="0"/>
                <w:szCs w:val="20"/>
              </w:rPr>
            </w:pPr>
            <w:r>
              <w:rPr>
                <w:rFonts w:ascii="Times New Roman" w:eastAsia="굴림"/>
                <w:kern w:val="0"/>
                <w:szCs w:val="20"/>
              </w:rPr>
              <w:t>50.3</w:t>
            </w:r>
            <w:r w:rsidR="0026534D" w:rsidRPr="00111E0D">
              <w:rPr>
                <w:rFonts w:ascii="Times New Roman" w:eastAsia="굴림"/>
                <w:bCs/>
                <w:kern w:val="24"/>
                <w:szCs w:val="20"/>
              </w:rPr>
              <w:t>±</w:t>
            </w:r>
            <w:r>
              <w:rPr>
                <w:rFonts w:ascii="Times New Roman" w:eastAsia="굴림"/>
                <w:bCs/>
                <w:kern w:val="24"/>
                <w:szCs w:val="20"/>
              </w:rPr>
              <w:t>3.5</w:t>
            </w:r>
            <w:r w:rsidR="0026534D">
              <w:rPr>
                <w:rFonts w:ascii="Times New Roman" w:eastAsia="굴림"/>
                <w:bCs/>
                <w:kern w:val="24"/>
                <w:position w:val="6"/>
                <w:szCs w:val="20"/>
                <w:vertAlign w:val="superscript"/>
              </w:rPr>
              <w:t>a</w:t>
            </w:r>
          </w:p>
        </w:tc>
        <w:tc>
          <w:tcPr>
            <w:tcW w:w="1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534D" w:rsidRPr="001F325A" w:rsidRDefault="005420C8" w:rsidP="005420C8">
            <w:pPr>
              <w:kinsoku w:val="0"/>
              <w:overflowPunct w:val="0"/>
              <w:snapToGrid w:val="0"/>
              <w:jc w:val="center"/>
              <w:textAlignment w:val="center"/>
              <w:rPr>
                <w:rFonts w:ascii="Times New Roman" w:eastAsia="굴림"/>
                <w:kern w:val="0"/>
                <w:szCs w:val="20"/>
              </w:rPr>
            </w:pPr>
            <w:r>
              <w:rPr>
                <w:rFonts w:ascii="Times New Roman" w:eastAsia="굴림"/>
                <w:kern w:val="0"/>
                <w:szCs w:val="20"/>
              </w:rPr>
              <w:t>11.7</w:t>
            </w:r>
            <w:r w:rsidR="0026534D" w:rsidRPr="00111E0D">
              <w:rPr>
                <w:rFonts w:ascii="Times New Roman" w:eastAsia="굴림"/>
                <w:bCs/>
                <w:kern w:val="24"/>
                <w:szCs w:val="20"/>
              </w:rPr>
              <w:t>±</w:t>
            </w:r>
            <w:r>
              <w:rPr>
                <w:rFonts w:ascii="Times New Roman" w:eastAsia="굴림"/>
                <w:bCs/>
                <w:kern w:val="24"/>
                <w:szCs w:val="20"/>
              </w:rPr>
              <w:t>0.6</w:t>
            </w:r>
            <w:r w:rsidR="0026534D">
              <w:rPr>
                <w:rFonts w:ascii="Times New Roman" w:eastAsia="굴림"/>
                <w:bCs/>
                <w:kern w:val="24"/>
                <w:position w:val="6"/>
                <w:szCs w:val="20"/>
                <w:vertAlign w:val="superscript"/>
              </w:rPr>
              <w:t>a</w:t>
            </w:r>
          </w:p>
        </w:tc>
      </w:tr>
      <w:tr w:rsidR="0026534D" w:rsidRPr="001F325A" w:rsidTr="00454492">
        <w:trPr>
          <w:trHeight w:val="373"/>
        </w:trPr>
        <w:tc>
          <w:tcPr>
            <w:tcW w:w="1276" w:type="dxa"/>
            <w:shd w:val="clear" w:color="auto" w:fill="auto"/>
            <w:tcMar>
              <w:top w:w="69" w:type="dxa"/>
              <w:left w:w="132" w:type="dxa"/>
              <w:bottom w:w="69" w:type="dxa"/>
              <w:right w:w="132" w:type="dxa"/>
            </w:tcMar>
            <w:vAlign w:val="center"/>
          </w:tcPr>
          <w:p w:rsidR="0026534D" w:rsidRPr="001F325A" w:rsidRDefault="0026534D" w:rsidP="00454492">
            <w:pPr>
              <w:widowControl/>
              <w:kinsoku w:val="0"/>
              <w:wordWrap/>
              <w:overflowPunct w:val="0"/>
              <w:snapToGrid w:val="0"/>
              <w:jc w:val="center"/>
              <w:textAlignment w:val="center"/>
              <w:rPr>
                <w:rFonts w:ascii="Times New Roman" w:eastAsia="굴림"/>
                <w:kern w:val="0"/>
                <w:szCs w:val="20"/>
              </w:rPr>
            </w:pPr>
            <w:r>
              <w:rPr>
                <w:rFonts w:ascii="Times New Roman" w:eastAsia="굴림"/>
                <w:bCs/>
                <w:color w:val="000000"/>
                <w:kern w:val="24"/>
                <w:szCs w:val="20"/>
              </w:rPr>
              <w:t>3X</w:t>
            </w:r>
          </w:p>
        </w:tc>
        <w:tc>
          <w:tcPr>
            <w:tcW w:w="2552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34D" w:rsidRPr="001F325A" w:rsidRDefault="005420C8" w:rsidP="00454492">
            <w:pPr>
              <w:widowControl/>
              <w:kinsoku w:val="0"/>
              <w:wordWrap/>
              <w:overflowPunct w:val="0"/>
              <w:snapToGrid w:val="0"/>
              <w:jc w:val="center"/>
              <w:textAlignment w:val="center"/>
              <w:rPr>
                <w:rFonts w:ascii="Times New Roman" w:eastAsia="굴림"/>
                <w:kern w:val="0"/>
                <w:szCs w:val="20"/>
              </w:rPr>
            </w:pPr>
            <w:r>
              <w:rPr>
                <w:rFonts w:ascii="Times New Roman" w:eastAsia="굴림"/>
                <w:kern w:val="0"/>
                <w:szCs w:val="20"/>
              </w:rPr>
              <w:t>83</w:t>
            </w:r>
          </w:p>
        </w:tc>
        <w:tc>
          <w:tcPr>
            <w:tcW w:w="172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26534D" w:rsidRPr="001F325A" w:rsidRDefault="005420C8" w:rsidP="00F57060">
            <w:pPr>
              <w:widowControl/>
              <w:kinsoku w:val="0"/>
              <w:wordWrap/>
              <w:overflowPunct w:val="0"/>
              <w:snapToGrid w:val="0"/>
              <w:jc w:val="center"/>
              <w:textAlignment w:val="center"/>
              <w:rPr>
                <w:rFonts w:ascii="Times New Roman" w:eastAsia="굴림"/>
                <w:kern w:val="0"/>
                <w:szCs w:val="20"/>
              </w:rPr>
            </w:pPr>
            <w:r>
              <w:rPr>
                <w:rFonts w:ascii="Times New Roman" w:eastAsia="굴림"/>
                <w:kern w:val="0"/>
                <w:szCs w:val="20"/>
              </w:rPr>
              <w:t>14.7</w:t>
            </w:r>
            <w:r w:rsidR="0026534D" w:rsidRPr="00111E0D">
              <w:rPr>
                <w:rFonts w:ascii="Times New Roman" w:eastAsia="굴림"/>
                <w:bCs/>
                <w:kern w:val="24"/>
                <w:szCs w:val="20"/>
              </w:rPr>
              <w:t>±</w:t>
            </w:r>
            <w:r>
              <w:rPr>
                <w:rFonts w:ascii="Times New Roman" w:eastAsia="굴림"/>
                <w:bCs/>
                <w:kern w:val="24"/>
                <w:szCs w:val="20"/>
              </w:rPr>
              <w:t>2.8</w:t>
            </w:r>
            <w:r w:rsidR="00F57060">
              <w:rPr>
                <w:rFonts w:ascii="Times New Roman" w:eastAsia="굴림"/>
                <w:bCs/>
                <w:kern w:val="24"/>
                <w:position w:val="6"/>
                <w:szCs w:val="20"/>
                <w:vertAlign w:val="superscript"/>
              </w:rPr>
              <w:t>b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6534D" w:rsidRPr="001F325A" w:rsidRDefault="005420C8" w:rsidP="005420C8">
            <w:pPr>
              <w:widowControl/>
              <w:kinsoku w:val="0"/>
              <w:wordWrap/>
              <w:overflowPunct w:val="0"/>
              <w:snapToGrid w:val="0"/>
              <w:jc w:val="center"/>
              <w:textAlignment w:val="center"/>
              <w:rPr>
                <w:rFonts w:ascii="Times New Roman" w:eastAsia="굴림"/>
                <w:kern w:val="0"/>
                <w:szCs w:val="20"/>
              </w:rPr>
            </w:pPr>
            <w:r>
              <w:rPr>
                <w:rFonts w:ascii="Times New Roman" w:eastAsia="굴림"/>
                <w:kern w:val="0"/>
                <w:szCs w:val="20"/>
              </w:rPr>
              <w:t>39.9</w:t>
            </w:r>
            <w:r w:rsidR="0026534D" w:rsidRPr="00111E0D">
              <w:rPr>
                <w:rFonts w:ascii="Times New Roman" w:eastAsia="굴림"/>
                <w:bCs/>
                <w:kern w:val="24"/>
                <w:szCs w:val="20"/>
              </w:rPr>
              <w:t>±</w:t>
            </w:r>
            <w:r>
              <w:rPr>
                <w:rFonts w:ascii="Times New Roman" w:eastAsia="굴림"/>
                <w:bCs/>
                <w:kern w:val="24"/>
                <w:szCs w:val="20"/>
              </w:rPr>
              <w:t>1.8</w:t>
            </w:r>
            <w:r w:rsidR="0026534D">
              <w:rPr>
                <w:rFonts w:ascii="Times New Roman" w:eastAsia="굴림"/>
                <w:bCs/>
                <w:kern w:val="24"/>
                <w:position w:val="6"/>
                <w:szCs w:val="20"/>
                <w:vertAlign w:val="superscript"/>
              </w:rPr>
              <w:t>b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26534D" w:rsidRPr="001F325A" w:rsidRDefault="005420C8" w:rsidP="005420C8">
            <w:pPr>
              <w:widowControl/>
              <w:kinsoku w:val="0"/>
              <w:wordWrap/>
              <w:overflowPunct w:val="0"/>
              <w:snapToGrid w:val="0"/>
              <w:jc w:val="center"/>
              <w:textAlignment w:val="center"/>
              <w:rPr>
                <w:rFonts w:ascii="Times New Roman" w:eastAsia="굴림"/>
                <w:kern w:val="0"/>
                <w:szCs w:val="20"/>
              </w:rPr>
            </w:pPr>
            <w:r>
              <w:rPr>
                <w:rFonts w:ascii="Times New Roman" w:eastAsia="굴림"/>
                <w:kern w:val="0"/>
                <w:szCs w:val="20"/>
              </w:rPr>
              <w:t>45.5</w:t>
            </w:r>
            <w:r w:rsidR="0026534D" w:rsidRPr="00111E0D">
              <w:rPr>
                <w:rFonts w:ascii="Times New Roman" w:eastAsia="굴림"/>
                <w:bCs/>
                <w:kern w:val="24"/>
                <w:szCs w:val="20"/>
              </w:rPr>
              <w:t>±</w:t>
            </w:r>
            <w:r>
              <w:rPr>
                <w:rFonts w:ascii="Times New Roman" w:eastAsia="굴림"/>
                <w:bCs/>
                <w:kern w:val="24"/>
                <w:szCs w:val="20"/>
              </w:rPr>
              <w:t>2.9</w:t>
            </w:r>
            <w:r w:rsidR="0026534D">
              <w:rPr>
                <w:rFonts w:ascii="Times New Roman" w:eastAsia="굴림"/>
                <w:bCs/>
                <w:kern w:val="24"/>
                <w:position w:val="6"/>
                <w:szCs w:val="20"/>
                <w:vertAlign w:val="superscript"/>
              </w:rPr>
              <w:t>b</w:t>
            </w:r>
          </w:p>
        </w:tc>
      </w:tr>
    </w:tbl>
    <w:p w:rsidR="0026534D" w:rsidRDefault="0026534D" w:rsidP="0026534D">
      <w:pPr>
        <w:kinsoku w:val="0"/>
        <w:wordWrap/>
        <w:overflowPunct w:val="0"/>
        <w:snapToGrid w:val="0"/>
        <w:spacing w:line="360" w:lineRule="auto"/>
        <w:rPr>
          <w:rFonts w:ascii="Times New Roman"/>
          <w:szCs w:val="20"/>
        </w:rPr>
      </w:pPr>
      <w:r w:rsidRPr="001F325A">
        <w:rPr>
          <w:rFonts w:ascii="Times New Roman"/>
          <w:szCs w:val="20"/>
        </w:rPr>
        <w:t>Data are the mean</w:t>
      </w:r>
      <w:r>
        <w:rPr>
          <w:rFonts w:ascii="Times New Roman" w:hint="eastAsia"/>
          <w:szCs w:val="20"/>
        </w:rPr>
        <w:t xml:space="preserve"> </w:t>
      </w:r>
      <w:r w:rsidRPr="001F325A">
        <w:rPr>
          <w:rFonts w:ascii="Times New Roman"/>
          <w:szCs w:val="20"/>
        </w:rPr>
        <w:t>±</w:t>
      </w:r>
      <w:r>
        <w:rPr>
          <w:rFonts w:ascii="Times New Roman" w:hint="eastAsia"/>
          <w:szCs w:val="20"/>
        </w:rPr>
        <w:t xml:space="preserve"> </w:t>
      </w:r>
      <w:r w:rsidRPr="001F325A">
        <w:rPr>
          <w:rFonts w:ascii="Times New Roman"/>
          <w:szCs w:val="20"/>
        </w:rPr>
        <w:t>SE</w:t>
      </w:r>
      <w:r>
        <w:rPr>
          <w:rFonts w:ascii="Times New Roman"/>
          <w:szCs w:val="20"/>
        </w:rPr>
        <w:t>M</w:t>
      </w:r>
      <w:r>
        <w:rPr>
          <w:rFonts w:ascii="Times New Roman" w:hint="eastAsia"/>
          <w:szCs w:val="20"/>
        </w:rPr>
        <w:t>, and v</w:t>
      </w:r>
      <w:r w:rsidRPr="001F325A">
        <w:rPr>
          <w:rFonts w:ascii="Times New Roman"/>
          <w:szCs w:val="20"/>
        </w:rPr>
        <w:t>alues with different superscript letter within a column differ significantly (</w:t>
      </w:r>
      <w:r w:rsidRPr="001F325A">
        <w:rPr>
          <w:rFonts w:ascii="Times New Roman"/>
          <w:i/>
          <w:iCs/>
          <w:szCs w:val="20"/>
        </w:rPr>
        <w:t>p</w:t>
      </w:r>
      <w:r w:rsidRPr="001F325A">
        <w:rPr>
          <w:rFonts w:ascii="Times New Roman"/>
          <w:szCs w:val="20"/>
        </w:rPr>
        <w:t xml:space="preserve"> &lt; 0.05).</w:t>
      </w:r>
    </w:p>
    <w:p w:rsidR="00E534BB" w:rsidRPr="0026534D" w:rsidRDefault="00E534BB" w:rsidP="0026534D">
      <w:bookmarkStart w:id="0" w:name="_GoBack"/>
      <w:bookmarkEnd w:id="0"/>
    </w:p>
    <w:sectPr w:rsidR="00E534BB" w:rsidRPr="0026534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EEF" w:rsidRDefault="00BF1EEF" w:rsidP="00847B22">
      <w:r>
        <w:separator/>
      </w:r>
    </w:p>
  </w:endnote>
  <w:endnote w:type="continuationSeparator" w:id="0">
    <w:p w:rsidR="00BF1EEF" w:rsidRDefault="00BF1EEF" w:rsidP="0084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EEF" w:rsidRDefault="00BF1EEF" w:rsidP="00847B22">
      <w:r>
        <w:separator/>
      </w:r>
    </w:p>
  </w:footnote>
  <w:footnote w:type="continuationSeparator" w:id="0">
    <w:p w:rsidR="00BF1EEF" w:rsidRDefault="00BF1EEF" w:rsidP="00847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BB"/>
    <w:rsid w:val="000B0E25"/>
    <w:rsid w:val="0026534D"/>
    <w:rsid w:val="00377DCF"/>
    <w:rsid w:val="004258F5"/>
    <w:rsid w:val="005420C8"/>
    <w:rsid w:val="005E3DBF"/>
    <w:rsid w:val="007F4329"/>
    <w:rsid w:val="00847B22"/>
    <w:rsid w:val="00A528E3"/>
    <w:rsid w:val="00B14D92"/>
    <w:rsid w:val="00B9761F"/>
    <w:rsid w:val="00BC101B"/>
    <w:rsid w:val="00BF1EEF"/>
    <w:rsid w:val="00C07D03"/>
    <w:rsid w:val="00E534BB"/>
    <w:rsid w:val="00F5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3D932"/>
  <w15:chartTrackingRefBased/>
  <w15:docId w15:val="{37059316-1354-4897-87A1-44E1A8E1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DC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7B22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847B22"/>
  </w:style>
  <w:style w:type="paragraph" w:styleId="a4">
    <w:name w:val="footer"/>
    <w:basedOn w:val="a"/>
    <w:link w:val="Char0"/>
    <w:uiPriority w:val="99"/>
    <w:unhideWhenUsed/>
    <w:rsid w:val="00847B22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847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2019-07-08T10:17:00Z</dcterms:created>
  <dcterms:modified xsi:type="dcterms:W3CDTF">2019-09-30T05:22:00Z</dcterms:modified>
</cp:coreProperties>
</file>