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sz w:val="18"/>
          <w:szCs w:val="18"/>
          <w:u w:val="none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sz w:val="21"/>
          <w:szCs w:val="21"/>
          <w:u w:val="none"/>
          <w:lang w:val="en-US" w:eastAsia="zh-CN"/>
        </w:rPr>
        <w:t xml:space="preserve">Table S3 </w:t>
      </w:r>
      <w:r>
        <w:rPr>
          <w:rFonts w:hint="default" w:ascii="Times New Roman" w:hAnsi="Times New Roman" w:eastAsia="宋体" w:cs="Times New Roman"/>
          <w:color w:val="1C1E29"/>
          <w:sz w:val="21"/>
          <w:szCs w:val="21"/>
          <w:lang w:eastAsia="zh-CN"/>
        </w:rPr>
        <w:t>The OTUs with relative abundances greater than 0.1% in the HTS database. ND means not detected. “Recovered” means that the OTU was represented by a culturable strain.</w:t>
      </w:r>
    </w:p>
    <w:tbl>
      <w:tblPr>
        <w:tblStyle w:val="2"/>
        <w:tblpPr w:leftFromText="180" w:rightFromText="180" w:vertAnchor="text" w:horzAnchor="page" w:tblpX="1815" w:tblpY="288"/>
        <w:tblOverlap w:val="never"/>
        <w:tblW w:w="83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40"/>
        <w:gridCol w:w="2160"/>
        <w:gridCol w:w="1545"/>
        <w:gridCol w:w="1545"/>
        <w:gridCol w:w="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OTU ID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Number of reads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Relative abundance(%)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Phylum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Genus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Recovered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16.02 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Planomicrobium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Psychrobacter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Pseudoalteromonas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Clostridium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Gramella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Psychrobacter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Desulfovibrio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Citrobacter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Clostridium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Macellibacteroides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Salegentibacter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Acinetobacter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Serratia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Flavobacterium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Providencia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Salinimicrobium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Psychrobacter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Cobetia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Clostridium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Oceanisphaera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Stenotrophomonas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Bizionia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Oleispira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Anaerospora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Mesonia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Ochrobactrum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Bacillus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Shewanella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Sedimentibacter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bookmarkStart w:id="0" w:name="_GoBack" w:colFirst="0" w:colLast="5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Bacteroides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Fusobacteria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Fusobacterium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Shewanella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Acinetobacter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Escherichia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Cupriavidus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Chloroflexi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Comamonas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Halomonas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Firmicutes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Oscillospira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Paracoccus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Flavobacterium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Actinobacteria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Arthrobacter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Mycoplana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Otu43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Acidovorax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C2D42"/>
    <w:rsid w:val="37625833"/>
    <w:rsid w:val="7A826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wangmeng</dc:creator>
  <cp:lastModifiedBy> </cp:lastModifiedBy>
  <dcterms:modified xsi:type="dcterms:W3CDTF">2020-04-07T13:52:24Z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