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5ECA9" w14:textId="34623656" w:rsidR="008E479D" w:rsidRPr="008E479D" w:rsidRDefault="008E479D" w:rsidP="008E479D">
      <w:pPr>
        <w:spacing w:line="480" w:lineRule="auto"/>
        <w:rPr>
          <w:rFonts w:ascii="Times New Roman" w:hAnsi="Times New Roman" w:cs="Times New Roman"/>
          <w:b/>
          <w:bCs/>
        </w:rPr>
      </w:pPr>
      <w:r w:rsidRPr="008E479D">
        <w:rPr>
          <w:rFonts w:ascii="Times New Roman" w:hAnsi="Times New Roman" w:cs="Times New Roman"/>
          <w:b/>
          <w:bCs/>
        </w:rPr>
        <w:t xml:space="preserve">Variation in female reproductive tract morphology across the reproductive cycle in the zebra finch </w:t>
      </w:r>
    </w:p>
    <w:p w14:paraId="7E94FAB0" w14:textId="24009EAB" w:rsidR="008E479D" w:rsidRDefault="008E479D" w:rsidP="008E479D">
      <w:pPr>
        <w:spacing w:line="480" w:lineRule="auto"/>
        <w:rPr>
          <w:rFonts w:ascii="Times New Roman" w:hAnsi="Times New Roman"/>
        </w:rPr>
      </w:pPr>
      <w:r w:rsidRPr="00001B44">
        <w:rPr>
          <w:rFonts w:ascii="Times New Roman" w:hAnsi="Times New Roman" w:cs="Times New Roman"/>
        </w:rPr>
        <w:t xml:space="preserve">Laura L. Hurley, </w:t>
      </w:r>
      <w:proofErr w:type="spellStart"/>
      <w:r>
        <w:rPr>
          <w:rFonts w:ascii="Times New Roman" w:hAnsi="Times New Roman" w:cs="Times New Roman"/>
        </w:rPr>
        <w:t>Ondi</w:t>
      </w:r>
      <w:proofErr w:type="spellEnd"/>
      <w:r>
        <w:rPr>
          <w:rFonts w:ascii="Times New Roman" w:hAnsi="Times New Roman" w:cs="Times New Roman"/>
        </w:rPr>
        <w:t xml:space="preserve"> L. </w:t>
      </w:r>
      <w:proofErr w:type="spellStart"/>
      <w:r>
        <w:rPr>
          <w:rFonts w:ascii="Times New Roman" w:hAnsi="Times New Roman" w:cs="Times New Roman"/>
        </w:rPr>
        <w:t>Crino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001B44">
        <w:rPr>
          <w:rFonts w:ascii="Times New Roman" w:hAnsi="Times New Roman" w:cs="Times New Roman"/>
        </w:rPr>
        <w:t>Melissah Rowe</w:t>
      </w:r>
      <w:r>
        <w:rPr>
          <w:rFonts w:ascii="Times New Roman" w:hAnsi="Times New Roman" w:cs="Times New Roman"/>
        </w:rPr>
        <w:t xml:space="preserve">, </w:t>
      </w:r>
      <w:r w:rsidRPr="00001B44">
        <w:rPr>
          <w:rFonts w:ascii="Times New Roman" w:hAnsi="Times New Roman" w:cs="Times New Roman"/>
        </w:rPr>
        <w:t>Simon C. Griffith</w:t>
      </w:r>
    </w:p>
    <w:p w14:paraId="36CB5995" w14:textId="77777777" w:rsidR="008E479D" w:rsidRPr="00001B44" w:rsidRDefault="008E479D" w:rsidP="008E479D">
      <w:pPr>
        <w:spacing w:line="480" w:lineRule="auto"/>
        <w:rPr>
          <w:rFonts w:ascii="Times New Roman" w:hAnsi="Times New Roman" w:cs="Times New Roman"/>
        </w:rPr>
      </w:pPr>
    </w:p>
    <w:p w14:paraId="25C469F7" w14:textId="10F6A839" w:rsidR="000E3969" w:rsidRPr="00E35CD5" w:rsidRDefault="0029411A" w:rsidP="000E3969">
      <w:pPr>
        <w:spacing w:line="480" w:lineRule="auto"/>
        <w:rPr>
          <w:rFonts w:ascii="Times New Roman" w:hAnsi="Times New Roman" w:cs="Times New Roman"/>
          <w:bCs/>
        </w:rPr>
      </w:pPr>
      <w:r w:rsidRPr="004D1DB6">
        <w:rPr>
          <w:rFonts w:ascii="Times New Roman" w:hAnsi="Times New Roman" w:cs="Times New Roman"/>
          <w:b/>
          <w:bCs/>
        </w:rPr>
        <w:t xml:space="preserve">Table </w:t>
      </w:r>
      <w:r w:rsidR="00EA7767">
        <w:rPr>
          <w:rFonts w:ascii="Times New Roman" w:hAnsi="Times New Roman" w:cs="Times New Roman"/>
          <w:b/>
          <w:bCs/>
        </w:rPr>
        <w:t>S</w:t>
      </w:r>
      <w:r w:rsidRPr="004D1DB6">
        <w:rPr>
          <w:rFonts w:ascii="Times New Roman" w:hAnsi="Times New Roman" w:cs="Times New Roman"/>
          <w:b/>
          <w:bCs/>
        </w:rPr>
        <w:t xml:space="preserve">1. </w:t>
      </w:r>
      <w:proofErr w:type="gramStart"/>
      <w:r w:rsidR="00EA7767" w:rsidRPr="00B07FD4">
        <w:rPr>
          <w:rFonts w:ascii="Times New Roman" w:hAnsi="Times New Roman" w:cs="Times New Roman"/>
          <w:b/>
          <w:bCs/>
        </w:rPr>
        <w:t>Variation in gonadal development in female passerine birds.</w:t>
      </w:r>
      <w:proofErr w:type="gramEnd"/>
      <w:r w:rsidR="00EA7767" w:rsidRPr="00B07FD4">
        <w:rPr>
          <w:rFonts w:ascii="Times New Roman" w:hAnsi="Times New Roman" w:cs="Times New Roman"/>
          <w:b/>
          <w:bCs/>
        </w:rPr>
        <w:t xml:space="preserve"> </w:t>
      </w:r>
      <w:r w:rsidR="00EA7767" w:rsidRPr="00B07FD4">
        <w:rPr>
          <w:rFonts w:ascii="Times New Roman" w:hAnsi="Times New Roman" w:cs="Times New Roman"/>
          <w:bCs/>
        </w:rPr>
        <w:t xml:space="preserve">Change in reproductive tissue in seasonal breeders and change in Zebra finch from this and previous studies (below </w:t>
      </w:r>
      <w:r w:rsidR="00893468">
        <w:rPr>
          <w:rFonts w:ascii="Times New Roman" w:hAnsi="Times New Roman" w:cs="Times New Roman"/>
          <w:bCs/>
        </w:rPr>
        <w:t xml:space="preserve">double </w:t>
      </w:r>
      <w:r w:rsidR="00EA7767" w:rsidRPr="00B07FD4">
        <w:rPr>
          <w:rFonts w:ascii="Times New Roman" w:hAnsi="Times New Roman" w:cs="Times New Roman"/>
          <w:bCs/>
        </w:rPr>
        <w:t>hatched line).</w:t>
      </w:r>
      <w:r w:rsidR="007F72CB">
        <w:rPr>
          <w:rFonts w:ascii="Times New Roman" w:hAnsi="Times New Roman" w:cs="Times New Roman"/>
          <w:bCs/>
        </w:rPr>
        <w:t xml:space="preserve"> Note only studies reporting actual quantitatively measured oviduct mass and/or follicle volume, are used to make comparison to the current study. Other studies do </w:t>
      </w:r>
      <w:bookmarkStart w:id="0" w:name="_GoBack"/>
      <w:bookmarkEnd w:id="0"/>
      <w:r w:rsidR="007F72CB">
        <w:rPr>
          <w:rFonts w:ascii="Times New Roman" w:hAnsi="Times New Roman" w:cs="Times New Roman"/>
          <w:bCs/>
        </w:rPr>
        <w:t>exist that use qualitative scoring of development/condition.</w:t>
      </w:r>
    </w:p>
    <w:tbl>
      <w:tblPr>
        <w:tblStyle w:val="TableGrid"/>
        <w:tblW w:w="137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992"/>
        <w:gridCol w:w="993"/>
        <w:gridCol w:w="1134"/>
        <w:gridCol w:w="1701"/>
        <w:gridCol w:w="1984"/>
        <w:gridCol w:w="2126"/>
      </w:tblGrid>
      <w:tr w:rsidR="00EA7767" w:rsidRPr="004C5D59" w14:paraId="173C28C5" w14:textId="77777777" w:rsidTr="006B3A3D">
        <w:tc>
          <w:tcPr>
            <w:tcW w:w="2660" w:type="dxa"/>
            <w:tcBorders>
              <w:top w:val="single" w:sz="4" w:space="0" w:color="auto"/>
              <w:bottom w:val="dotted" w:sz="4" w:space="0" w:color="auto"/>
            </w:tcBorders>
          </w:tcPr>
          <w:p w14:paraId="7B21FD52" w14:textId="77777777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r w:rsidRPr="00E30036">
              <w:rPr>
                <w:b/>
                <w:bCs/>
                <w:sz w:val="22"/>
                <w:szCs w:val="22"/>
              </w:rPr>
              <w:t>Species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620035C3" w14:textId="77777777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r w:rsidRPr="00E30036">
              <w:rPr>
                <w:b/>
                <w:bCs/>
                <w:sz w:val="22"/>
                <w:szCs w:val="22"/>
              </w:rPr>
              <w:t>Tissue (measure)</w:t>
            </w:r>
          </w:p>
        </w:tc>
        <w:tc>
          <w:tcPr>
            <w:tcW w:w="992" w:type="dxa"/>
            <w:tcBorders>
              <w:top w:val="single" w:sz="4" w:space="0" w:color="auto"/>
              <w:bottom w:val="dotted" w:sz="4" w:space="0" w:color="auto"/>
            </w:tcBorders>
          </w:tcPr>
          <w:p w14:paraId="3D1B6729" w14:textId="77777777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30036">
              <w:rPr>
                <w:b/>
                <w:bCs/>
                <w:sz w:val="22"/>
                <w:szCs w:val="22"/>
              </w:rPr>
              <w:t>min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bottom w:val="dotted" w:sz="4" w:space="0" w:color="auto"/>
            </w:tcBorders>
          </w:tcPr>
          <w:p w14:paraId="5F516A42" w14:textId="77777777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proofErr w:type="gramStart"/>
            <w:r w:rsidRPr="00E30036">
              <w:rPr>
                <w:b/>
                <w:bCs/>
                <w:sz w:val="22"/>
                <w:szCs w:val="22"/>
              </w:rPr>
              <w:t>max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dotted" w:sz="4" w:space="0" w:color="auto"/>
            </w:tcBorders>
          </w:tcPr>
          <w:p w14:paraId="51664210" w14:textId="77777777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r w:rsidRPr="00E30036">
              <w:rPr>
                <w:b/>
                <w:bCs/>
                <w:sz w:val="22"/>
                <w:szCs w:val="22"/>
              </w:rPr>
              <w:t>Fold increase</w:t>
            </w:r>
          </w:p>
        </w:tc>
        <w:tc>
          <w:tcPr>
            <w:tcW w:w="1701" w:type="dxa"/>
            <w:tcBorders>
              <w:top w:val="single" w:sz="4" w:space="0" w:color="auto"/>
              <w:bottom w:val="dotted" w:sz="4" w:space="0" w:color="auto"/>
            </w:tcBorders>
          </w:tcPr>
          <w:p w14:paraId="18CA32F6" w14:textId="20B3BF4B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Sampling Point (min/max)</w:t>
            </w:r>
          </w:p>
        </w:tc>
        <w:tc>
          <w:tcPr>
            <w:tcW w:w="1984" w:type="dxa"/>
            <w:tcBorders>
              <w:top w:val="single" w:sz="4" w:space="0" w:color="auto"/>
              <w:bottom w:val="dotted" w:sz="4" w:space="0" w:color="auto"/>
            </w:tcBorders>
          </w:tcPr>
          <w:p w14:paraId="5B0142B7" w14:textId="1B326EAB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r w:rsidRPr="00E30036">
              <w:rPr>
                <w:b/>
                <w:bCs/>
                <w:sz w:val="22"/>
                <w:szCs w:val="22"/>
              </w:rPr>
              <w:t>Conditions/</w:t>
            </w:r>
            <w:r w:rsidR="0009700F">
              <w:rPr>
                <w:b/>
                <w:bCs/>
                <w:sz w:val="22"/>
                <w:szCs w:val="22"/>
              </w:rPr>
              <w:t xml:space="preserve"> </w:t>
            </w:r>
            <w:r w:rsidRPr="00E30036">
              <w:rPr>
                <w:b/>
                <w:bCs/>
                <w:sz w:val="22"/>
                <w:szCs w:val="22"/>
              </w:rPr>
              <w:t>comments</w:t>
            </w: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</w:tcBorders>
          </w:tcPr>
          <w:p w14:paraId="5A695DB1" w14:textId="77777777" w:rsidR="00EA7767" w:rsidRPr="00E30036" w:rsidRDefault="00EA7767" w:rsidP="00EA7767">
            <w:pPr>
              <w:rPr>
                <w:b/>
                <w:bCs/>
                <w:sz w:val="22"/>
                <w:szCs w:val="22"/>
              </w:rPr>
            </w:pPr>
            <w:r w:rsidRPr="00E30036">
              <w:rPr>
                <w:b/>
                <w:bCs/>
                <w:sz w:val="22"/>
                <w:szCs w:val="22"/>
              </w:rPr>
              <w:t>Reference</w:t>
            </w:r>
          </w:p>
        </w:tc>
      </w:tr>
      <w:tr w:rsidR="00EA7767" w:rsidRPr="004C5D59" w14:paraId="2F2FACC0" w14:textId="77777777" w:rsidTr="006B3A3D">
        <w:tc>
          <w:tcPr>
            <w:tcW w:w="2660" w:type="dxa"/>
            <w:tcBorders>
              <w:top w:val="dotted" w:sz="4" w:space="0" w:color="auto"/>
              <w:right w:val="dotted" w:sz="4" w:space="0" w:color="auto"/>
            </w:tcBorders>
          </w:tcPr>
          <w:p w14:paraId="79F4BC65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House sparrow</w:t>
            </w:r>
          </w:p>
          <w:p w14:paraId="3CEC5CB0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r w:rsidRPr="00E30036">
              <w:rPr>
                <w:i/>
                <w:iCs/>
                <w:sz w:val="22"/>
                <w:szCs w:val="22"/>
              </w:rPr>
              <w:t xml:space="preserve">        Passer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domesticus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AC984A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Oviduct mass (mg)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5B2C3E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3.3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BD2CCD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241</w:t>
            </w:r>
            <w:r w:rsidRPr="005B15D0">
              <w:rPr>
                <w:sz w:val="22"/>
                <w:szCs w:val="22"/>
              </w:rPr>
              <w:t>.1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A6C8BFC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73.1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8FD2C0" w14:textId="20C78130" w:rsidR="00EA7767" w:rsidRPr="00E30036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Dec/March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4348BF" w14:textId="2011C3C3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 xml:space="preserve">Wild, free-living birds,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D4A8726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Keck</w:t>
            </w:r>
            <w:r>
              <w:rPr>
                <w:sz w:val="22"/>
                <w:szCs w:val="22"/>
              </w:rPr>
              <w:t>,</w:t>
            </w:r>
            <w:r w:rsidRPr="00E30036">
              <w:rPr>
                <w:sz w:val="22"/>
                <w:szCs w:val="22"/>
              </w:rPr>
              <w:t xml:space="preserve"> 1934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Hidden="1"&gt;&lt;Author&gt;Keck&lt;/Author&gt;&lt;Year&gt;1934&lt;/Year&gt;&lt;RecNum&gt;52&lt;/RecNum&gt;&lt;record&gt;&lt;rec-number&gt;52&lt;/rec-number&gt;&lt;foreign-keys&gt;&lt;key app="EN" db-id="00v2d255hwvdf3eeetop0f2qdvf29p2ex0fs" timestamp="1580451128"&gt;52&lt;/key&gt;&lt;/foreign-keys&gt;&lt;ref-type name="Journal Article"&gt;17&lt;/ref-type&gt;&lt;contributors&gt;&lt;authors&gt;&lt;author&gt;Keck, Warren N&lt;/author&gt;&lt;/authors&gt;&lt;/contributors&gt;&lt;titles&gt;&lt;title&gt;The control of the secondary sex characters in the English sparrow, Passer domesticus (Linnaeus)&lt;/title&gt;&lt;secondary-title&gt;Journal of Experimental Zoology&lt;/secondary-title&gt;&lt;/titles&gt;&lt;periodical&gt;&lt;full-title&gt;Journal of Experimental Zoology&lt;/full-title&gt;&lt;/periodical&gt;&lt;pages&gt;315-347&lt;/pages&gt;&lt;volume&gt;67&lt;/volume&gt;&lt;number&gt;2&lt;/number&gt;&lt;dates&gt;&lt;year&gt;1934&lt;/year&gt;&lt;/dates&gt;&lt;isbn&gt;0022-104X&lt;/isbn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A7767" w:rsidRPr="004C5D59" w14:paraId="459CE266" w14:textId="77777777" w:rsidTr="006B3A3D">
        <w:tc>
          <w:tcPr>
            <w:tcW w:w="2660" w:type="dxa"/>
            <w:tcBorders>
              <w:right w:val="dotted" w:sz="4" w:space="0" w:color="auto"/>
            </w:tcBorders>
          </w:tcPr>
          <w:p w14:paraId="5303039C" w14:textId="77777777" w:rsidR="00EA7767" w:rsidRPr="00E30036" w:rsidRDefault="00EA7767" w:rsidP="00EA7767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E6AEA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Oviduct mass (mg)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48546B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0.006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B7CAB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0.333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4A5FE6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55.5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FFE9F2" w14:textId="6EEA2979" w:rsidR="00EA7767" w:rsidRPr="00E30036" w:rsidRDefault="005B6E3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Late winter-early spring/ laying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4DC1BD" w14:textId="7C94F174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Dry mass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D0E3891" w14:textId="1E0CDF95" w:rsidR="00EA7767" w:rsidRPr="00E30036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Hidden="1"&gt;&lt;Author&gt;Vézina&lt;/Author&gt;&lt;Year&gt;2010&lt;/Year&gt;&lt;RecNum&gt;81&lt;/RecNum&gt;&lt;record&gt;&lt;rec-number&gt;81&lt;/rec-number&gt;&lt;foreign-keys&gt;&lt;key app="EN" db-id="00v2d255hwvdf3eeetop0f2qdvf29p2ex0fs" timestamp="1585200446"&gt;81&lt;/key&gt;&lt;/foreign-keys&gt;&lt;ref-type name="Journal Article"&gt;17&lt;/ref-type&gt;&lt;contributors&gt;&lt;authors&gt;&lt;author&gt;Vézina, François&lt;/author&gt;&lt;author&gt;Salvante, Katrina G&lt;/author&gt;&lt;/authors&gt;&lt;/contributors&gt;&lt;titles&gt;&lt;title&gt;Behavioral and physiological flexibility are used by birds to manage energy and support investment in the early stages of reproduction&lt;/title&gt;&lt;secondary-title&gt;Current Zoology&lt;/secondary-title&gt;&lt;/titles&gt;&lt;periodical&gt;&lt;full-title&gt;Current Zoology&lt;/full-title&gt;&lt;/periodical&gt;&lt;pages&gt;767-792&lt;/pages&gt;&lt;volume&gt;56&lt;/volume&gt;&lt;number&gt;6&lt;/number&gt;&lt;dates&gt;&lt;year&gt;2010&lt;/year&gt;&lt;/dates&gt;&lt;isbn&gt;2396-9814&lt;/isbn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  <w:r w:rsidR="005B6E3F">
              <w:rPr>
                <w:sz w:val="22"/>
                <w:szCs w:val="22"/>
              </w:rPr>
              <w:t xml:space="preserve">Krementz and </w:t>
            </w:r>
            <w:proofErr w:type="spellStart"/>
            <w:r w:rsidR="005B6E3F">
              <w:rPr>
                <w:sz w:val="22"/>
                <w:szCs w:val="22"/>
              </w:rPr>
              <w:t>Ankney</w:t>
            </w:r>
            <w:proofErr w:type="spellEnd"/>
            <w:r w:rsidR="005B6E3F">
              <w:rPr>
                <w:sz w:val="22"/>
                <w:szCs w:val="22"/>
              </w:rPr>
              <w:t xml:space="preserve"> 1986</w:t>
            </w:r>
          </w:p>
        </w:tc>
      </w:tr>
      <w:tr w:rsidR="00EA7767" w:rsidRPr="004C5D59" w14:paraId="7A31B4BB" w14:textId="77777777" w:rsidTr="006B3A3D">
        <w:tc>
          <w:tcPr>
            <w:tcW w:w="2660" w:type="dxa"/>
            <w:tcBorders>
              <w:bottom w:val="dotted" w:sz="4" w:space="0" w:color="auto"/>
              <w:right w:val="dotted" w:sz="4" w:space="0" w:color="auto"/>
            </w:tcBorders>
          </w:tcPr>
          <w:p w14:paraId="2EA64716" w14:textId="77777777" w:rsidR="00EA7767" w:rsidRPr="00E30036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01DD47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92AECE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48EFA6" w14:textId="7360C918" w:rsidR="00EA7767" w:rsidRPr="00E30036" w:rsidRDefault="002A4933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1E92D7" w14:textId="66335A9F" w:rsidR="00EA7767" w:rsidRPr="00E30036" w:rsidRDefault="002A4933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A7767" w:rsidRPr="00E30036"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5888CA" w14:textId="0E6AE839" w:rsidR="00EA7767" w:rsidRPr="00E30036" w:rsidRDefault="002A4933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Postnuptial </w:t>
            </w:r>
            <w:proofErr w:type="spellStart"/>
            <w:r>
              <w:rPr>
                <w:sz w:val="22"/>
                <w:szCs w:val="22"/>
              </w:rPr>
              <w:t>molt</w:t>
            </w:r>
            <w:proofErr w:type="spellEnd"/>
            <w:r>
              <w:rPr>
                <w:sz w:val="22"/>
                <w:szCs w:val="22"/>
              </w:rPr>
              <w:t>/laying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F40C49" w14:textId="0CBEDE08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Largest follicle diameter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D881F9D" w14:textId="31A7B07F" w:rsidR="00EA7767" w:rsidRPr="00E30036" w:rsidRDefault="007E762F" w:rsidP="00EA7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Hegner</w:t>
            </w:r>
            <w:proofErr w:type="spellEnd"/>
            <w:r>
              <w:rPr>
                <w:sz w:val="22"/>
                <w:szCs w:val="22"/>
              </w:rPr>
              <w:t xml:space="preserve"> and Wingfield 1986</w:t>
            </w:r>
          </w:p>
        </w:tc>
      </w:tr>
      <w:tr w:rsidR="00EA7767" w:rsidRPr="004C5D59" w14:paraId="0AF41A20" w14:textId="77777777" w:rsidTr="006B3A3D">
        <w:tc>
          <w:tcPr>
            <w:tcW w:w="2660" w:type="dxa"/>
            <w:tcBorders>
              <w:top w:val="dotted" w:sz="4" w:space="0" w:color="auto"/>
              <w:right w:val="dotted" w:sz="4" w:space="0" w:color="auto"/>
            </w:tcBorders>
          </w:tcPr>
          <w:p w14:paraId="5FEF5CF2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European Starling</w:t>
            </w:r>
          </w:p>
          <w:p w14:paraId="7CCDA938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Sturnus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vulgaris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E1CC77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Oviduct mass (</w:t>
            </w:r>
            <w:r>
              <w:rPr>
                <w:sz w:val="22"/>
                <w:szCs w:val="22"/>
              </w:rPr>
              <w:t>m</w:t>
            </w:r>
            <w:r w:rsidRPr="00E30036">
              <w:rPr>
                <w:sz w:val="22"/>
                <w:szCs w:val="22"/>
              </w:rPr>
              <w:t>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6DECA4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1C0959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3990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9F76E5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49.9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E94511" w14:textId="76353519" w:rsidR="00EA7767" w:rsidRPr="00E30036" w:rsidRDefault="003B266B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Non-reproductive/ Reproductive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7A107AF" w14:textId="0C84637C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 xml:space="preserve">Wet mass,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B08BE8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proofErr w:type="spellStart"/>
            <w:r w:rsidRPr="00E30036">
              <w:rPr>
                <w:sz w:val="22"/>
                <w:szCs w:val="22"/>
              </w:rPr>
              <w:t>Vézina</w:t>
            </w:r>
            <w:proofErr w:type="spellEnd"/>
            <w:r w:rsidRPr="00E30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E30036">
              <w:rPr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sz w:val="22"/>
                <w:szCs w:val="22"/>
              </w:rPr>
              <w:t>Salvante</w:t>
            </w:r>
            <w:proofErr w:type="spellEnd"/>
            <w:r w:rsidRPr="00E30036">
              <w:rPr>
                <w:sz w:val="22"/>
                <w:szCs w:val="22"/>
              </w:rPr>
              <w:t>, 2010</w:t>
            </w:r>
          </w:p>
        </w:tc>
      </w:tr>
      <w:tr w:rsidR="00EA7767" w:rsidRPr="004C5D59" w14:paraId="5C665501" w14:textId="77777777" w:rsidTr="006B3A3D">
        <w:tc>
          <w:tcPr>
            <w:tcW w:w="2660" w:type="dxa"/>
            <w:tcBorders>
              <w:bottom w:val="dotted" w:sz="4" w:space="0" w:color="auto"/>
              <w:right w:val="dotted" w:sz="4" w:space="0" w:color="auto"/>
            </w:tcBorders>
          </w:tcPr>
          <w:p w14:paraId="519B051B" w14:textId="77777777" w:rsidR="00EA7767" w:rsidRPr="00E30036" w:rsidRDefault="00EA7767" w:rsidP="00EA7767">
            <w:pPr>
              <w:jc w:val="right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1FC196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</w:t>
            </w:r>
            <w:r>
              <w:rPr>
                <w:sz w:val="22"/>
                <w:szCs w:val="22"/>
              </w:rPr>
              <w:t>m</w:t>
            </w:r>
            <w:r w:rsidRPr="00E30036">
              <w:rPr>
                <w:sz w:val="22"/>
                <w:szCs w:val="22"/>
              </w:rPr>
              <w:t>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527D19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5E73F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E30036">
              <w:rPr>
                <w:sz w:val="22"/>
                <w:szCs w:val="22"/>
              </w:rPr>
              <w:t>19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D53A73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119.0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1F6FF" w14:textId="5B0BF946" w:rsidR="00EA7767" w:rsidRPr="00E30036" w:rsidRDefault="00F36AC0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Non-reproductive/ Reproductive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00A19" w14:textId="090B7FC9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Wet mass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1001D06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proofErr w:type="spellStart"/>
            <w:r w:rsidRPr="00E30036">
              <w:rPr>
                <w:sz w:val="22"/>
                <w:szCs w:val="22"/>
              </w:rPr>
              <w:t>Vézina</w:t>
            </w:r>
            <w:proofErr w:type="spellEnd"/>
            <w:r w:rsidRPr="00E3003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and</w:t>
            </w:r>
            <w:r w:rsidRPr="00E30036">
              <w:rPr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sz w:val="22"/>
                <w:szCs w:val="22"/>
              </w:rPr>
              <w:t>Salvante</w:t>
            </w:r>
            <w:proofErr w:type="spellEnd"/>
            <w:r w:rsidRPr="00E30036">
              <w:rPr>
                <w:sz w:val="22"/>
                <w:szCs w:val="22"/>
              </w:rPr>
              <w:t>, 2010</w:t>
            </w:r>
          </w:p>
        </w:tc>
      </w:tr>
      <w:tr w:rsidR="00EA7767" w:rsidRPr="004C5D59" w14:paraId="7B5A6096" w14:textId="77777777" w:rsidTr="00CA5B25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D801CB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Clay-</w:t>
            </w:r>
            <w:proofErr w:type="spellStart"/>
            <w:r w:rsidRPr="00E30036">
              <w:rPr>
                <w:sz w:val="22"/>
                <w:szCs w:val="22"/>
              </w:rPr>
              <w:t>colored</w:t>
            </w:r>
            <w:proofErr w:type="spellEnd"/>
            <w:r w:rsidRPr="00E30036">
              <w:rPr>
                <w:sz w:val="22"/>
                <w:szCs w:val="22"/>
              </w:rPr>
              <w:t xml:space="preserve"> robin</w:t>
            </w:r>
          </w:p>
          <w:p w14:paraId="65C9C14E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Turdus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grayii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09B125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D89D1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BFD0BAA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4.7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B55299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9.4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28E5667" w14:textId="7CCBAF1D" w:rsidR="00EA7767" w:rsidRPr="00E30036" w:rsidRDefault="00451F62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Pre-breed/ Peak -breed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2E8941" w14:textId="2CDD5839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Largest follicle diameter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C545C00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proofErr w:type="spellStart"/>
            <w:r w:rsidRPr="00E30036">
              <w:rPr>
                <w:sz w:val="22"/>
                <w:szCs w:val="22"/>
              </w:rPr>
              <w:t>Wikelski</w:t>
            </w:r>
            <w:proofErr w:type="spellEnd"/>
            <w:r w:rsidRPr="00E30036">
              <w:rPr>
                <w:sz w:val="22"/>
                <w:szCs w:val="22"/>
              </w:rPr>
              <w:t xml:space="preserve"> et al</w:t>
            </w:r>
            <w:r>
              <w:rPr>
                <w:sz w:val="22"/>
                <w:szCs w:val="22"/>
              </w:rPr>
              <w:t>.,</w:t>
            </w:r>
            <w:r w:rsidRPr="00E30036">
              <w:rPr>
                <w:sz w:val="22"/>
                <w:szCs w:val="22"/>
              </w:rPr>
              <w:t xml:space="preserve"> 2003</w:t>
            </w:r>
          </w:p>
        </w:tc>
      </w:tr>
      <w:tr w:rsidR="00EA7767" w:rsidRPr="004C5D59" w14:paraId="150B9D5E" w14:textId="77777777" w:rsidTr="00CA5B25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384C9B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Blue-</w:t>
            </w:r>
            <w:proofErr w:type="spellStart"/>
            <w:r w:rsidRPr="00E30036">
              <w:rPr>
                <w:sz w:val="22"/>
                <w:szCs w:val="22"/>
              </w:rPr>
              <w:t>gray</w:t>
            </w:r>
            <w:proofErr w:type="spellEnd"/>
            <w:r w:rsidRPr="00E30036">
              <w:rPr>
                <w:sz w:val="22"/>
                <w:szCs w:val="22"/>
              </w:rPr>
              <w:t xml:space="preserve"> tanager</w:t>
            </w:r>
          </w:p>
          <w:p w14:paraId="6BDFC8B9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Thraupis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episcopus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244910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139500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7DE97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3.7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33438A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7.4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D4A7C3" w14:textId="3ABA41E0" w:rsidR="00EA7767" w:rsidRPr="00E30036" w:rsidRDefault="00451F62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Pre-breed/ Peak -breed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B2C233" w14:textId="69958322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Largest follicle diameter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DD0F9CA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proofErr w:type="spellStart"/>
            <w:r w:rsidRPr="00E30036">
              <w:rPr>
                <w:sz w:val="22"/>
                <w:szCs w:val="22"/>
              </w:rPr>
              <w:t>Wikelski</w:t>
            </w:r>
            <w:proofErr w:type="spellEnd"/>
            <w:r w:rsidRPr="00E30036">
              <w:rPr>
                <w:sz w:val="22"/>
                <w:szCs w:val="22"/>
              </w:rPr>
              <w:t xml:space="preserve"> et al</w:t>
            </w:r>
            <w:r>
              <w:rPr>
                <w:sz w:val="22"/>
                <w:szCs w:val="22"/>
              </w:rPr>
              <w:t>.,</w:t>
            </w:r>
            <w:r w:rsidRPr="00E30036">
              <w:rPr>
                <w:sz w:val="22"/>
                <w:szCs w:val="22"/>
              </w:rPr>
              <w:t xml:space="preserve"> 2003</w:t>
            </w:r>
          </w:p>
        </w:tc>
      </w:tr>
      <w:tr w:rsidR="00EA7767" w:rsidRPr="004C5D59" w14:paraId="22868AE1" w14:textId="77777777" w:rsidTr="00CA5B25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A0D099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Song wren</w:t>
            </w:r>
          </w:p>
          <w:p w14:paraId="296F794A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Cyphorhinus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phaeocephalic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8CE187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B4C320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AE5641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2.3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2FB4DC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4.6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C534BD" w14:textId="2FC63EB0" w:rsidR="00EA7767" w:rsidRPr="00E30036" w:rsidRDefault="00451F62" w:rsidP="00451F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Pre-breed/ Peak -breed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3A2D12" w14:textId="2434B9B6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Largest follicle diameter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2DFE5FA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proofErr w:type="spellStart"/>
            <w:r w:rsidRPr="00E30036">
              <w:rPr>
                <w:sz w:val="22"/>
                <w:szCs w:val="22"/>
              </w:rPr>
              <w:t>Wikelski</w:t>
            </w:r>
            <w:proofErr w:type="spellEnd"/>
            <w:r w:rsidRPr="00E30036">
              <w:rPr>
                <w:sz w:val="22"/>
                <w:szCs w:val="22"/>
              </w:rPr>
              <w:t xml:space="preserve"> et al</w:t>
            </w:r>
            <w:r>
              <w:rPr>
                <w:sz w:val="22"/>
                <w:szCs w:val="22"/>
              </w:rPr>
              <w:t>.,</w:t>
            </w:r>
            <w:r w:rsidRPr="00E30036">
              <w:rPr>
                <w:sz w:val="22"/>
                <w:szCs w:val="22"/>
              </w:rPr>
              <w:t xml:space="preserve"> 2003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Hidden="1"&gt;&lt;Author&gt;Wikelski&lt;/Author&gt;&lt;Year&gt;2003&lt;/Year&gt;&lt;RecNum&gt;92&lt;/RecNum&gt;&lt;record&gt;&lt;rec-number&gt;92&lt;/rec-number&gt;&lt;foreign-keys&gt;&lt;key app="EN" db-id="00v2d255hwvdf3eeetop0f2qdvf29p2ex0fs" timestamp="1588224886"&gt;92&lt;/key&gt;&lt;/foreign-keys&gt;&lt;ref-type name="Journal Article"&gt;17&lt;/ref-type&gt;&lt;contributors&gt;&lt;authors&gt;&lt;author&gt;Wikelski, Martin&lt;/author&gt;&lt;author&gt;Hau, Michaela&lt;/author&gt;&lt;author&gt;Douglas Robinson, W&lt;/author&gt;&lt;author&gt;Wingfield, John C&lt;/author&gt;&lt;/authors&gt;&lt;/contributors&gt;&lt;titles&gt;&lt;title&gt;Reproductive seasonality of seven neotropical passerine species&lt;/title&gt;&lt;secondary-title&gt;The Condor&lt;/secondary-title&gt;&lt;/titles&gt;&lt;periodical&gt;&lt;full-title&gt;The Condor&lt;/full-title&gt;&lt;/periodical&gt;&lt;pages&gt;683-695&lt;/pages&gt;&lt;volume&gt;105&lt;/volume&gt;&lt;number&gt;4&lt;/number&gt;&lt;dates&gt;&lt;year&gt;2003&lt;/year&gt;&lt;/dates&gt;&lt;isbn&gt;0010-5422&lt;/isbn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A7767" w:rsidRPr="004C5D59" w14:paraId="123AB1E1" w14:textId="77777777" w:rsidTr="00CA5B25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8A9229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lastRenderedPageBreak/>
              <w:t>Great tit</w:t>
            </w:r>
          </w:p>
          <w:p w14:paraId="4516001E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Parus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major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0F54D7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Oviduct mass (mg)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36A30E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1A401A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220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1A1491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220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F024541" w14:textId="44761678" w:rsidR="00EA7767" w:rsidRPr="00E30036" w:rsidRDefault="00F36AC0" w:rsidP="00F36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Non-breeding (late Sept-mid-March)/ Pre-lay (late April) 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93C08B" w14:textId="49850449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Wet, fixed tissue.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64E3B02" w14:textId="6FA61905" w:rsidR="00EA7767" w:rsidRPr="00E30036" w:rsidRDefault="0083470A" w:rsidP="00EA7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Silverin</w:t>
            </w:r>
            <w:proofErr w:type="spellEnd"/>
            <w:r>
              <w:rPr>
                <w:sz w:val="22"/>
                <w:szCs w:val="22"/>
              </w:rPr>
              <w:t xml:space="preserve"> 1978</w:t>
            </w:r>
          </w:p>
        </w:tc>
      </w:tr>
      <w:tr w:rsidR="00EA7767" w:rsidRPr="004C5D59" w14:paraId="75274EAF" w14:textId="77777777" w:rsidTr="00CA5B25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C6B284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Pied flycatcher</w:t>
            </w:r>
          </w:p>
          <w:p w14:paraId="11BB717C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Ficedula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hypoleuca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FD5B84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Oviduct mass (</w:t>
            </w:r>
            <w:r>
              <w:rPr>
                <w:sz w:val="22"/>
                <w:szCs w:val="22"/>
              </w:rPr>
              <w:t>m</w:t>
            </w:r>
            <w:r w:rsidRPr="00E30036">
              <w:rPr>
                <w:sz w:val="22"/>
                <w:szCs w:val="22"/>
              </w:rPr>
              <w:t>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ACBD02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DBB856" w14:textId="77777777" w:rsidR="00EA7767" w:rsidRPr="005B15D0" w:rsidRDefault="00EA7767" w:rsidP="003B266B">
            <w:pPr>
              <w:jc w:val="center"/>
            </w:pPr>
            <w:r>
              <w:t>1000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3BA770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5.6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937D0D" w14:textId="3514D314" w:rsidR="00EA7767" w:rsidRPr="005B15D0" w:rsidRDefault="00BE6516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Laying/ Incubating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93589E" w14:textId="65279532" w:rsidR="00EA7767" w:rsidRPr="005B15D0" w:rsidRDefault="00EA7767" w:rsidP="00EA7767">
            <w:pPr>
              <w:rPr>
                <w:sz w:val="22"/>
                <w:szCs w:val="22"/>
              </w:rPr>
            </w:pPr>
            <w:r w:rsidRPr="005B15D0">
              <w:rPr>
                <w:sz w:val="22"/>
                <w:szCs w:val="22"/>
              </w:rPr>
              <w:t xml:space="preserve">Wet mass.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BB7294" w14:textId="77777777" w:rsidR="00EA7767" w:rsidRPr="005B15D0" w:rsidRDefault="00EA7767" w:rsidP="00EA7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Ojanen</w:t>
            </w:r>
            <w:proofErr w:type="spellEnd"/>
            <w:r>
              <w:rPr>
                <w:sz w:val="22"/>
                <w:szCs w:val="22"/>
              </w:rPr>
              <w:t>, 1983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Hidden="1"&gt;&lt;Author&gt;Ojanen&lt;/Author&gt;&lt;Year&gt;1983&lt;/Year&gt;&lt;RecNum&gt;78&lt;/RecNum&gt;&lt;record&gt;&lt;rec-number&gt;78&lt;/rec-number&gt;&lt;foreign-keys&gt;&lt;key app="EN" db-id="00v2d255hwvdf3eeetop0f2qdvf29p2ex0fs" timestamp="1585198668"&gt;78&lt;/key&gt;&lt;/foreign-keys&gt;&lt;ref-type name="Conference Proceedings"&gt;10&lt;/ref-type&gt;&lt;contributors&gt;&lt;authors&gt;&lt;author&gt;Ojanen, Mikko&lt;/author&gt;&lt;/authors&gt;&lt;/contributors&gt;&lt;titles&gt;&lt;title&gt;Egg development and the related nutrient reserve depletion in the pied flycatcher, Ficedula hypoleuca&lt;/title&gt;&lt;secondary-title&gt;Annales Zoologici Fennici&lt;/secondary-title&gt;&lt;/titles&gt;&lt;pages&gt;293-299&lt;/pages&gt;&lt;dates&gt;&lt;year&gt;1983&lt;/year&gt;&lt;/dates&gt;&lt;publisher&gt;JSTOR&lt;/publisher&gt;&lt;isbn&gt;0003-455X&lt;/isbn&gt;&lt;urls&gt;&lt;/urls&gt;&lt;/record&gt;&lt;/Cite&gt;&lt;/EndNote&gt;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A7767" w:rsidRPr="004C5D59" w14:paraId="3AF03C6B" w14:textId="77777777" w:rsidTr="006B3A3D">
        <w:tc>
          <w:tcPr>
            <w:tcW w:w="26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029540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Willow tit</w:t>
            </w:r>
          </w:p>
          <w:p w14:paraId="7E246D85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Poecile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montanus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8A8D24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556F3A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0.25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98D30C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3.84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E53812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DA1C1" w14:textId="744B35A9" w:rsidR="00EA7767" w:rsidRPr="005B15D0" w:rsidRDefault="0083470A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14d at 20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light/57d at 20 </w:t>
            </w:r>
            <w:proofErr w:type="spellStart"/>
            <w:r>
              <w:rPr>
                <w:sz w:val="22"/>
                <w:szCs w:val="22"/>
              </w:rPr>
              <w:t>hrs</w:t>
            </w:r>
            <w:proofErr w:type="spellEnd"/>
            <w:r>
              <w:rPr>
                <w:sz w:val="22"/>
                <w:szCs w:val="22"/>
              </w:rPr>
              <w:t xml:space="preserve"> light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4D3AC" w14:textId="521AD744" w:rsidR="00EA7767" w:rsidRPr="005B15D0" w:rsidRDefault="00EA7767" w:rsidP="00EA7767">
            <w:pPr>
              <w:rPr>
                <w:sz w:val="22"/>
                <w:szCs w:val="22"/>
              </w:rPr>
            </w:pPr>
            <w:r w:rsidRPr="005B15D0">
              <w:rPr>
                <w:sz w:val="22"/>
                <w:szCs w:val="22"/>
              </w:rPr>
              <w:t>Largest follicle diameter</w:t>
            </w:r>
            <w:r w:rsidR="0083470A">
              <w:rPr>
                <w:sz w:val="22"/>
                <w:szCs w:val="22"/>
              </w:rPr>
              <w:t>. Paired females</w:t>
            </w:r>
            <w:r w:rsidRPr="005B15D0">
              <w:rPr>
                <w:sz w:val="22"/>
                <w:szCs w:val="22"/>
              </w:rPr>
              <w:t>*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1F592BC1" w14:textId="75ABC28D" w:rsidR="00EA7767" w:rsidRPr="005B15D0" w:rsidRDefault="0083470A" w:rsidP="00EA7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Silverin</w:t>
            </w:r>
            <w:proofErr w:type="spellEnd"/>
            <w:r>
              <w:rPr>
                <w:sz w:val="22"/>
                <w:szCs w:val="22"/>
              </w:rPr>
              <w:t xml:space="preserve"> and Westin</w:t>
            </w:r>
            <w:r w:rsidR="00B52F0B">
              <w:rPr>
                <w:sz w:val="22"/>
                <w:szCs w:val="22"/>
              </w:rPr>
              <w:t xml:space="preserve"> 1995</w:t>
            </w:r>
          </w:p>
        </w:tc>
      </w:tr>
      <w:tr w:rsidR="00EA7767" w:rsidRPr="004C5D59" w14:paraId="5BFB618F" w14:textId="77777777" w:rsidTr="006B3A3D">
        <w:tc>
          <w:tcPr>
            <w:tcW w:w="2660" w:type="dxa"/>
            <w:tcBorders>
              <w:top w:val="dotted" w:sz="4" w:space="0" w:color="auto"/>
              <w:right w:val="dotted" w:sz="4" w:space="0" w:color="auto"/>
            </w:tcBorders>
          </w:tcPr>
          <w:p w14:paraId="2D4A9C47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 xml:space="preserve">Pied </w:t>
            </w:r>
            <w:proofErr w:type="spellStart"/>
            <w:r w:rsidRPr="00E30036">
              <w:rPr>
                <w:sz w:val="22"/>
                <w:szCs w:val="22"/>
              </w:rPr>
              <w:t>myna</w:t>
            </w:r>
            <w:proofErr w:type="spellEnd"/>
          </w:p>
          <w:p w14:paraId="225A2D9B" w14:textId="77777777" w:rsidR="00EA7767" w:rsidRPr="00E30036" w:rsidRDefault="00EA7767" w:rsidP="00EA7767">
            <w:pPr>
              <w:jc w:val="right"/>
              <w:rPr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Sturnus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contra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contra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456AA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Oviduct mass (mg/100g body weight)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CDC346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23.6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936AA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930.2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42D055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39.4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F6ED70" w14:textId="71F663B3" w:rsidR="00EA7767" w:rsidRPr="005B15D0" w:rsidRDefault="00BE6516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Nov/May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3F05AD" w14:textId="2B834B92" w:rsidR="00EA7767" w:rsidRPr="005B15D0" w:rsidRDefault="00EA7767" w:rsidP="00EA7767">
            <w:pPr>
              <w:rPr>
                <w:sz w:val="22"/>
                <w:szCs w:val="22"/>
              </w:rPr>
            </w:pPr>
            <w:r w:rsidRPr="005B15D0">
              <w:rPr>
                <w:sz w:val="22"/>
                <w:szCs w:val="22"/>
              </w:rPr>
              <w:t>Based on monthly measures across year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1C98B8C" w14:textId="77777777" w:rsidR="00EA7767" w:rsidRPr="005B15D0" w:rsidRDefault="00EA7767" w:rsidP="00EA7767">
            <w:pPr>
              <w:rPr>
                <w:sz w:val="22"/>
                <w:szCs w:val="22"/>
              </w:rPr>
            </w:pPr>
            <w:r w:rsidRPr="005B15D0">
              <w:rPr>
                <w:sz w:val="22"/>
                <w:szCs w:val="22"/>
              </w:rPr>
              <w:t xml:space="preserve">Gupta and </w:t>
            </w:r>
            <w:proofErr w:type="spellStart"/>
            <w:r w:rsidRPr="005B15D0">
              <w:rPr>
                <w:sz w:val="22"/>
                <w:szCs w:val="22"/>
              </w:rPr>
              <w:t>Maiti</w:t>
            </w:r>
            <w:proofErr w:type="spellEnd"/>
            <w:r w:rsidRPr="005B15D0">
              <w:rPr>
                <w:sz w:val="22"/>
                <w:szCs w:val="22"/>
              </w:rPr>
              <w:t xml:space="preserve"> 1987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Hidden="1"&gt;&lt;Author&gt;Gupta&lt;/Author&gt;&lt;Year&gt;1987&lt;/Year&gt;&lt;RecNum&gt;80&lt;/RecNum&gt;&lt;record&gt;&lt;rec-number&gt;80&lt;/rec-number&gt;&lt;foreign-keys&gt;&lt;key app="EN" db-id="00v2d255hwvdf3eeetop0f2qdvf29p2ex0fs" timestamp="1585200373"&gt;80&lt;/key&gt;&lt;/foreign-keys&gt;&lt;ref-type name="Journal Article"&gt;17&lt;/ref-type&gt;&lt;contributors&gt;&lt;authors&gt;&lt;author&gt;Gupta, SK&lt;/author&gt;&lt;author&gt;Maiti, BR&lt;/author&gt;&lt;/authors&gt;&lt;/contributors&gt;&lt;titles&gt;&lt;title&gt;Seasonal changes in the oviduct of the pied myna (Aves: Sturnidae)&lt;/title&gt;&lt;secondary-title&gt;Journal of morphology&lt;/secondary-title&gt;&lt;/titles&gt;&lt;periodical&gt;&lt;full-title&gt;Journal of morphology&lt;/full-title&gt;&lt;/periodical&gt;&lt;pages&gt;247-263&lt;/pages&gt;&lt;volume&gt;194&lt;/volume&gt;&lt;number&gt;3&lt;/number&gt;&lt;dates&gt;&lt;year&gt;1987&lt;/year&gt;&lt;/dates&gt;&lt;isbn&gt;0362-2525&lt;/isbn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A7767" w:rsidRPr="004C5D59" w14:paraId="371680AC" w14:textId="77777777" w:rsidTr="006B3A3D">
        <w:tc>
          <w:tcPr>
            <w:tcW w:w="2660" w:type="dxa"/>
            <w:tcBorders>
              <w:bottom w:val="dotted" w:sz="4" w:space="0" w:color="auto"/>
              <w:right w:val="dotted" w:sz="4" w:space="0" w:color="auto"/>
            </w:tcBorders>
          </w:tcPr>
          <w:p w14:paraId="55DA93C6" w14:textId="77777777" w:rsidR="00EA7767" w:rsidRPr="00E30036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63F131" w14:textId="77777777" w:rsidR="00EA7767" w:rsidRPr="00E30036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E28AB9C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122.1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4C4C19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2350.4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103F69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19.2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67031AF" w14:textId="1E3BC65A" w:rsidR="00EA7767" w:rsidRPr="005B15D0" w:rsidRDefault="00BE6516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Early nest/ </w:t>
            </w:r>
            <w:r w:rsidR="003B266B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>gg laying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5D814C" w14:textId="17995FA1" w:rsidR="00EA7767" w:rsidRPr="005B15D0" w:rsidRDefault="00BE6516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 in nesting cycle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7363EDD" w14:textId="77777777" w:rsidR="00EA7767" w:rsidRPr="005B15D0" w:rsidRDefault="00EA7767" w:rsidP="00EA7767">
            <w:pPr>
              <w:rPr>
                <w:sz w:val="22"/>
                <w:szCs w:val="22"/>
              </w:rPr>
            </w:pPr>
            <w:r w:rsidRPr="005B15D0">
              <w:rPr>
                <w:sz w:val="22"/>
                <w:szCs w:val="22"/>
              </w:rPr>
              <w:t xml:space="preserve">Gupta and </w:t>
            </w:r>
            <w:proofErr w:type="spellStart"/>
            <w:r w:rsidRPr="005B15D0">
              <w:rPr>
                <w:sz w:val="22"/>
                <w:szCs w:val="22"/>
              </w:rPr>
              <w:t>Maiti</w:t>
            </w:r>
            <w:proofErr w:type="spellEnd"/>
            <w:r w:rsidRPr="005B15D0">
              <w:rPr>
                <w:sz w:val="22"/>
                <w:szCs w:val="22"/>
              </w:rPr>
              <w:t xml:space="preserve"> 1987</w:t>
            </w:r>
          </w:p>
        </w:tc>
      </w:tr>
      <w:tr w:rsidR="00EA7767" w:rsidRPr="004C5D59" w14:paraId="50A2D2C5" w14:textId="77777777" w:rsidTr="006B3A3D">
        <w:tc>
          <w:tcPr>
            <w:tcW w:w="2660" w:type="dxa"/>
            <w:tcBorders>
              <w:top w:val="dotted" w:sz="4" w:space="0" w:color="auto"/>
              <w:right w:val="dotted" w:sz="4" w:space="0" w:color="auto"/>
            </w:tcBorders>
          </w:tcPr>
          <w:p w14:paraId="75531EE6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White-crowned sparrow</w:t>
            </w:r>
          </w:p>
          <w:p w14:paraId="10D54449" w14:textId="77777777" w:rsidR="00EA7767" w:rsidRPr="00E30036" w:rsidRDefault="00EA7767" w:rsidP="00EA7767">
            <w:pPr>
              <w:jc w:val="right"/>
              <w:rPr>
                <w:i/>
                <w:iCs/>
                <w:sz w:val="22"/>
                <w:szCs w:val="22"/>
              </w:rPr>
            </w:pPr>
            <w:proofErr w:type="spellStart"/>
            <w:r w:rsidRPr="00E30036">
              <w:rPr>
                <w:i/>
                <w:iCs/>
                <w:sz w:val="22"/>
                <w:szCs w:val="22"/>
              </w:rPr>
              <w:t>Zonotricha</w:t>
            </w:r>
            <w:proofErr w:type="spellEnd"/>
            <w:r w:rsidRPr="00E30036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30036">
              <w:rPr>
                <w:i/>
                <w:iCs/>
                <w:sz w:val="22"/>
                <w:szCs w:val="22"/>
              </w:rPr>
              <w:t>leucophrys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A95931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  <w:r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CFA13D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&lt; </w:t>
            </w:r>
            <w:r w:rsidRPr="00E30036">
              <w:rPr>
                <w:sz w:val="22"/>
                <w:szCs w:val="22"/>
              </w:rPr>
              <w:t>0.5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7698557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&gt;5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2D2ED3" w14:textId="77777777" w:rsidR="00EA7767" w:rsidRPr="00E30036" w:rsidRDefault="00EA7767" w:rsidP="003B266B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sym w:font="Symbol" w:char="F0B3"/>
            </w:r>
            <w:r w:rsidRPr="00E30036">
              <w:rPr>
                <w:sz w:val="22"/>
                <w:szCs w:val="22"/>
              </w:rPr>
              <w:t>10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6D42F24" w14:textId="2DD6AE10" w:rsidR="00EA7767" w:rsidRDefault="007415AE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 flock/Laying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E6A34C8" w14:textId="292EE356" w:rsidR="00EA7767" w:rsidRPr="00E30036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Category, not actual measure.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B77DE95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98200F">
              <w:rPr>
                <w:sz w:val="22"/>
                <w:szCs w:val="22"/>
              </w:rPr>
              <w:t xml:space="preserve">Wingfield and </w:t>
            </w:r>
            <w:proofErr w:type="spellStart"/>
            <w:r w:rsidRPr="0098200F">
              <w:rPr>
                <w:sz w:val="22"/>
                <w:szCs w:val="22"/>
              </w:rPr>
              <w:t>Farner</w:t>
            </w:r>
            <w:proofErr w:type="spellEnd"/>
            <w:r>
              <w:rPr>
                <w:sz w:val="22"/>
                <w:szCs w:val="22"/>
              </w:rPr>
              <w:t xml:space="preserve">, 1978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Hidden="1"&gt;&lt;Author&gt;Wingfield&lt;/Author&gt;&lt;Year&gt;1978&lt;/Year&gt;&lt;RecNum&gt;66&lt;/RecNum&gt;&lt;record&gt;&lt;rec-number&gt;66&lt;/rec-number&gt;&lt;foreign-keys&gt;&lt;key app="EN" db-id="00v2d255hwvdf3eeetop0f2qdvf29p2ex0fs" timestamp="1584619817"&gt;66&lt;/key&gt;&lt;/foreign-keys&gt;&lt;ref-type name="Journal Article"&gt;17&lt;/ref-type&gt;&lt;contributors&gt;&lt;authors&gt;&lt;author&gt;Wingfield, John C&lt;/author&gt;&lt;author&gt;Farner, Donald S&lt;/author&gt;&lt;/authors&gt;&lt;/contributors&gt;&lt;titles&gt;&lt;title&gt;&lt;style face="normal" font="default" size="100%"&gt;The endocrinology of a natural breeding population of the white-crowned sparrow (&lt;/style&gt;&lt;style face="italic" font="default" size="100%"&gt;Zonotrichia leucophrys pugetensis&lt;/style&gt;&lt;style face="normal" font="default" size="100%"&gt;)&lt;/style&gt;&lt;/title&gt;&lt;secondary-title&gt;Physiological Zoology&lt;/secondary-title&gt;&lt;/titles&gt;&lt;periodical&gt;&lt;full-title&gt;Physiological Zoology&lt;/full-title&gt;&lt;/periodical&gt;&lt;pages&gt;188-205&lt;/pages&gt;&lt;volume&gt;51&lt;/volume&gt;&lt;number&gt;2&lt;/number&gt;&lt;dates&gt;&lt;year&gt;1978&lt;/year&gt;&lt;/dates&gt;&lt;isbn&gt;0031-935X&lt;/isbn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EA7767" w:rsidRPr="004C5D59" w14:paraId="3AB4F6A1" w14:textId="77777777" w:rsidTr="006B3A3D">
        <w:trPr>
          <w:trHeight w:val="307"/>
        </w:trPr>
        <w:tc>
          <w:tcPr>
            <w:tcW w:w="2660" w:type="dxa"/>
            <w:tcBorders>
              <w:right w:val="dotted" w:sz="4" w:space="0" w:color="auto"/>
            </w:tcBorders>
          </w:tcPr>
          <w:p w14:paraId="117CA4D7" w14:textId="77777777" w:rsidR="00EA7767" w:rsidRPr="00E30036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C7457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981C33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0.77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7EAE43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6.6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F02319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8.6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68A594" w14:textId="4EAD5030" w:rsidR="00EA7767" w:rsidRPr="00E30036" w:rsidRDefault="00CA5B25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Non-breeding/ Laying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7F38FE" w14:textId="152123D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Free-living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39BA49FB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r w:rsidRPr="0098200F">
              <w:rPr>
                <w:sz w:val="22"/>
                <w:szCs w:val="22"/>
              </w:rPr>
              <w:t>Kern</w:t>
            </w:r>
            <w:r>
              <w:rPr>
                <w:sz w:val="22"/>
                <w:szCs w:val="22"/>
              </w:rPr>
              <w:t>,</w:t>
            </w:r>
            <w:r w:rsidRPr="0098200F">
              <w:rPr>
                <w:sz w:val="22"/>
                <w:szCs w:val="22"/>
              </w:rPr>
              <w:t xml:space="preserve"> 1972</w:t>
            </w:r>
          </w:p>
        </w:tc>
      </w:tr>
      <w:tr w:rsidR="00EA7767" w:rsidRPr="004C5D59" w14:paraId="0FC402F6" w14:textId="77777777" w:rsidTr="006B3A3D">
        <w:tc>
          <w:tcPr>
            <w:tcW w:w="2660" w:type="dxa"/>
            <w:tcBorders>
              <w:bottom w:val="dotted" w:sz="4" w:space="0" w:color="auto"/>
              <w:right w:val="dotted" w:sz="4" w:space="0" w:color="auto"/>
            </w:tcBorders>
          </w:tcPr>
          <w:p w14:paraId="4B664D2A" w14:textId="77777777" w:rsidR="00EA7767" w:rsidRPr="00E30036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AB1375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Follicle size (mm)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16491E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0.4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FFE708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1.8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4EDD60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>4.5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FC07D" w14:textId="2BAD7CE6" w:rsidR="00EA7767" w:rsidRPr="00E30036" w:rsidRDefault="00CA5B25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Non-breeding/ Laying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D8F5996" w14:textId="50A4FAA1" w:rsidR="00EA7767" w:rsidRPr="00E30036" w:rsidRDefault="00EA7767" w:rsidP="00EA7767">
            <w:pPr>
              <w:rPr>
                <w:sz w:val="22"/>
                <w:szCs w:val="22"/>
              </w:rPr>
            </w:pPr>
            <w:r w:rsidRPr="00E30036">
              <w:rPr>
                <w:sz w:val="22"/>
                <w:szCs w:val="22"/>
              </w:rPr>
              <w:t xml:space="preserve">Captive in outdoor aviaries 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F6C7B53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r w:rsidRPr="0098200F">
              <w:rPr>
                <w:sz w:val="22"/>
                <w:szCs w:val="22"/>
              </w:rPr>
              <w:t>Kern</w:t>
            </w:r>
            <w:r>
              <w:rPr>
                <w:sz w:val="22"/>
                <w:szCs w:val="22"/>
              </w:rPr>
              <w:t>,</w:t>
            </w:r>
            <w:r w:rsidRPr="0098200F">
              <w:rPr>
                <w:sz w:val="22"/>
                <w:szCs w:val="22"/>
              </w:rPr>
              <w:t xml:space="preserve"> 1972</w:t>
            </w:r>
          </w:p>
        </w:tc>
      </w:tr>
      <w:tr w:rsidR="00EA7767" w:rsidRPr="004C5D59" w14:paraId="1BD0B726" w14:textId="77777777" w:rsidTr="006B3A3D">
        <w:tc>
          <w:tcPr>
            <w:tcW w:w="2660" w:type="dxa"/>
            <w:tcBorders>
              <w:top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6DB248BE" w14:textId="7777777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Western Meadowlark </w:t>
            </w:r>
          </w:p>
          <w:p w14:paraId="6B9D95C2" w14:textId="77777777" w:rsidR="00EA7767" w:rsidRPr="00CE0AFB" w:rsidRDefault="00EA7767" w:rsidP="00EA7767">
            <w:pPr>
              <w:jc w:val="right"/>
              <w:rPr>
                <w:i/>
                <w:sz w:val="22"/>
                <w:szCs w:val="22"/>
              </w:rPr>
            </w:pPr>
            <w:proofErr w:type="spellStart"/>
            <w:r>
              <w:rPr>
                <w:i/>
                <w:sz w:val="22"/>
                <w:szCs w:val="22"/>
              </w:rPr>
              <w:t>Sturnella</w:t>
            </w:r>
            <w:proofErr w:type="spellEnd"/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i/>
                <w:sz w:val="22"/>
                <w:szCs w:val="22"/>
              </w:rPr>
              <w:t>neglecta</w:t>
            </w:r>
            <w:proofErr w:type="spellEnd"/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178733AF" w14:textId="77777777" w:rsidR="00EA7767" w:rsidRPr="00E30036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Follicle size (mm)*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38D66BF5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0.75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14F8765D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1AE197E4" w14:textId="77777777" w:rsidR="00EA7767" w:rsidRPr="00E30036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506CA41A" w14:textId="60A20003" w:rsidR="00EA7767" w:rsidRDefault="004A579B" w:rsidP="004A57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Post-breed (early July)/ Breeding (mid-May)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  <w:right w:val="dotted" w:sz="4" w:space="0" w:color="auto"/>
            </w:tcBorders>
          </w:tcPr>
          <w:p w14:paraId="5B8CD1F4" w14:textId="16F858A0" w:rsidR="00EA7767" w:rsidRPr="00E30036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Largest follicle diameter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ashSmallGap" w:sz="8" w:space="0" w:color="auto"/>
            </w:tcBorders>
          </w:tcPr>
          <w:p w14:paraId="445F6C76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r w:rsidRPr="0098200F">
              <w:rPr>
                <w:sz w:val="22"/>
                <w:szCs w:val="22"/>
              </w:rPr>
              <w:t xml:space="preserve">Wingfield and </w:t>
            </w:r>
            <w:proofErr w:type="spellStart"/>
            <w:r w:rsidRPr="0098200F">
              <w:rPr>
                <w:sz w:val="22"/>
                <w:szCs w:val="22"/>
              </w:rPr>
              <w:t>Farner</w:t>
            </w:r>
            <w:proofErr w:type="spellEnd"/>
            <w:r>
              <w:rPr>
                <w:sz w:val="22"/>
                <w:szCs w:val="22"/>
              </w:rPr>
              <w:t>,</w:t>
            </w:r>
            <w:r w:rsidRPr="0098200F">
              <w:rPr>
                <w:sz w:val="22"/>
                <w:szCs w:val="22"/>
              </w:rPr>
              <w:t xml:space="preserve"> 1993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/>
            </w:r>
            <w:r>
              <w:rPr>
                <w:sz w:val="22"/>
                <w:szCs w:val="22"/>
              </w:rPr>
              <w:instrText xml:space="preserve"> ADDIN EN.CITE &lt;EndNote&gt;&lt;Cite Hidden="1"&gt;&lt;Author&gt;Wingfield&lt;/Author&gt;&lt;Year&gt;1993&lt;/Year&gt;&lt;RecNum&gt;56&lt;/RecNum&gt;&lt;record&gt;&lt;rec-number&gt;56&lt;/rec-number&gt;&lt;foreign-keys&gt;&lt;key app="EN" db-id="00v2d255hwvdf3eeetop0f2qdvf29p2ex0fs" timestamp="1584581666"&gt;56&lt;/key&gt;&lt;/foreign-keys&gt;&lt;ref-type name="Journal Article"&gt;17&lt;/ref-type&gt;&lt;contributors&gt;&lt;authors&gt;&lt;author&gt;Wingfield, JC&lt;/author&gt;&lt;author&gt;Farner, Donald S&lt;/author&gt;&lt;/authors&gt;&lt;/contributors&gt;&lt;titles&gt;&lt;title&gt;Endocrinology of reproduction in wild species (In: Avian Biology, vol. IX, Eds: DS Farner, JR King, KC Parkes)–Academic Press&lt;/title&gt;&lt;secondary-title&gt;New York&lt;/secondary-title&gt;&lt;/titles&gt;&lt;periodical&gt;&lt;full-title&gt;New York&lt;/full-title&gt;&lt;/periodical&gt;&lt;pages&gt;163-327&lt;/pages&gt;&lt;dates&gt;&lt;year&gt;1993&lt;/year&gt;&lt;/dates&gt;&lt;urls&gt;&lt;/urls&gt;&lt;/record&gt;&lt;/Cite&gt;&lt;/EndNote&gt;</w:instrTex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F6574D" w:rsidRPr="00F6574D" w14:paraId="130FED75" w14:textId="77777777" w:rsidTr="003D3763">
        <w:tc>
          <w:tcPr>
            <w:tcW w:w="2660" w:type="dxa"/>
            <w:tcBorders>
              <w:top w:val="dashSmallGap" w:sz="8" w:space="0" w:color="auto"/>
              <w:bottom w:val="dashSmallGap" w:sz="8" w:space="0" w:color="auto"/>
              <w:right w:val="dotted" w:sz="4" w:space="0" w:color="auto"/>
            </w:tcBorders>
          </w:tcPr>
          <w:p w14:paraId="5E5B600A" w14:textId="77777777" w:rsidR="00F6574D" w:rsidRPr="00F6574D" w:rsidRDefault="00F6574D" w:rsidP="00EA7767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2803546" w14:textId="77777777" w:rsidR="00F6574D" w:rsidRPr="00F6574D" w:rsidRDefault="00F6574D" w:rsidP="00EA7767">
            <w:pPr>
              <w:rPr>
                <w:sz w:val="4"/>
                <w:szCs w:val="4"/>
              </w:rPr>
            </w:pPr>
          </w:p>
        </w:tc>
        <w:tc>
          <w:tcPr>
            <w:tcW w:w="992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88AFDF" w14:textId="77777777" w:rsidR="00F6574D" w:rsidRPr="00F6574D" w:rsidRDefault="00F6574D" w:rsidP="00EA77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993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FD828" w14:textId="77777777" w:rsidR="00F6574D" w:rsidRPr="00F6574D" w:rsidRDefault="00F6574D" w:rsidP="00EA77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134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A4175A" w14:textId="77777777" w:rsidR="00F6574D" w:rsidRPr="00F6574D" w:rsidRDefault="00F6574D" w:rsidP="00EA7767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1701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20A099" w14:textId="77777777" w:rsidR="00F6574D" w:rsidRPr="00F6574D" w:rsidRDefault="00F6574D" w:rsidP="00EA7767">
            <w:pPr>
              <w:rPr>
                <w:sz w:val="4"/>
                <w:szCs w:val="4"/>
              </w:rPr>
            </w:pPr>
          </w:p>
        </w:tc>
        <w:tc>
          <w:tcPr>
            <w:tcW w:w="1984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BE03AC" w14:textId="77777777" w:rsidR="00F6574D" w:rsidRPr="00F6574D" w:rsidRDefault="00F6574D" w:rsidP="00EA7767">
            <w:pPr>
              <w:rPr>
                <w:sz w:val="4"/>
                <w:szCs w:val="4"/>
              </w:rPr>
            </w:pPr>
          </w:p>
        </w:tc>
        <w:tc>
          <w:tcPr>
            <w:tcW w:w="2126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</w:tcBorders>
          </w:tcPr>
          <w:p w14:paraId="719F9B26" w14:textId="77777777" w:rsidR="00F6574D" w:rsidRPr="00F6574D" w:rsidRDefault="00F6574D" w:rsidP="00EA7767">
            <w:pPr>
              <w:rPr>
                <w:sz w:val="4"/>
                <w:szCs w:val="4"/>
              </w:rPr>
            </w:pPr>
          </w:p>
        </w:tc>
      </w:tr>
      <w:tr w:rsidR="00EA7767" w:rsidRPr="004C5D59" w14:paraId="268DB8ED" w14:textId="77777777" w:rsidTr="003D3763">
        <w:tc>
          <w:tcPr>
            <w:tcW w:w="2660" w:type="dxa"/>
            <w:tcBorders>
              <w:top w:val="dashSmallGap" w:sz="8" w:space="0" w:color="auto"/>
              <w:right w:val="dotted" w:sz="4" w:space="0" w:color="auto"/>
            </w:tcBorders>
          </w:tcPr>
          <w:p w14:paraId="759AAFEB" w14:textId="7777777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Zebra Finch</w:t>
            </w:r>
          </w:p>
          <w:p w14:paraId="310EDCD6" w14:textId="4A5BB8E4" w:rsidR="003D3763" w:rsidRDefault="003D3763" w:rsidP="003D3763">
            <w:pPr>
              <w:jc w:val="right"/>
              <w:rPr>
                <w:sz w:val="22"/>
                <w:szCs w:val="22"/>
              </w:rPr>
            </w:pPr>
            <w:r w:rsidRPr="00001B44">
              <w:rPr>
                <w:rFonts w:ascii="Times New Roman" w:hAnsi="Times New Roman" w:cs="Times New Roman"/>
                <w:i/>
                <w:color w:val="1A1718"/>
              </w:rPr>
              <w:t>Taeniopygia guttata</w:t>
            </w:r>
          </w:p>
        </w:tc>
        <w:tc>
          <w:tcPr>
            <w:tcW w:w="2126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3AC1C7" w14:textId="7777777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Follicle size (mm</w:t>
            </w:r>
            <w:r w:rsidRPr="00AD0EB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992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28C66F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2.45</w:t>
            </w:r>
          </w:p>
        </w:tc>
        <w:tc>
          <w:tcPr>
            <w:tcW w:w="993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173AF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74.9</w:t>
            </w:r>
          </w:p>
        </w:tc>
        <w:tc>
          <w:tcPr>
            <w:tcW w:w="1134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CFAE81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30.6</w:t>
            </w:r>
          </w:p>
        </w:tc>
        <w:tc>
          <w:tcPr>
            <w:tcW w:w="1701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3CAFEFA" w14:textId="3255741C" w:rsidR="00EA7767" w:rsidRDefault="003B266B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Post-hatch/ Nesting</w:t>
            </w:r>
          </w:p>
        </w:tc>
        <w:tc>
          <w:tcPr>
            <w:tcW w:w="1984" w:type="dxa"/>
            <w:vMerge w:val="restart"/>
            <w:tcBorders>
              <w:top w:val="dashSmallGap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6671F6" w14:textId="72E05933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With-in single breeding event</w:t>
            </w:r>
          </w:p>
        </w:tc>
        <w:tc>
          <w:tcPr>
            <w:tcW w:w="2126" w:type="dxa"/>
            <w:tcBorders>
              <w:top w:val="dashSmallGap" w:sz="8" w:space="0" w:color="auto"/>
              <w:left w:val="dotted" w:sz="4" w:space="0" w:color="auto"/>
              <w:bottom w:val="dotted" w:sz="4" w:space="0" w:color="auto"/>
            </w:tcBorders>
          </w:tcPr>
          <w:p w14:paraId="542EE82C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study</w:t>
            </w:r>
          </w:p>
        </w:tc>
      </w:tr>
      <w:tr w:rsidR="00EA7767" w:rsidRPr="004C5D59" w14:paraId="44F6E48D" w14:textId="77777777" w:rsidTr="003D3763">
        <w:tc>
          <w:tcPr>
            <w:tcW w:w="2660" w:type="dxa"/>
            <w:tcBorders>
              <w:right w:val="dotted" w:sz="4" w:space="0" w:color="auto"/>
            </w:tcBorders>
          </w:tcPr>
          <w:p w14:paraId="25FC26E1" w14:textId="7E0A8B9B" w:rsidR="00EA7767" w:rsidRDefault="00EA7767" w:rsidP="00EA7767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6C43DA" w14:textId="7777777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Oviduct mass (g)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3F24A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22D088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0.43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A6CE78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14.3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5A83EA" w14:textId="4CCD0036" w:rsidR="00EA7767" w:rsidRDefault="003B266B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Post-hatch/ Laying</w:t>
            </w:r>
          </w:p>
        </w:tc>
        <w:tc>
          <w:tcPr>
            <w:tcW w:w="1984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4B9C00" w14:textId="3DA483A1" w:rsidR="00EA7767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6FAC6DA2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Current study</w:t>
            </w:r>
          </w:p>
        </w:tc>
      </w:tr>
      <w:tr w:rsidR="00EA7767" w:rsidRPr="004C5D59" w14:paraId="7DCEB754" w14:textId="77777777" w:rsidTr="003D3763">
        <w:tc>
          <w:tcPr>
            <w:tcW w:w="2660" w:type="dxa"/>
            <w:tcBorders>
              <w:right w:val="dotted" w:sz="4" w:space="0" w:color="auto"/>
            </w:tcBorders>
          </w:tcPr>
          <w:p w14:paraId="4EAAD175" w14:textId="77777777" w:rsidR="00EA7767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26659" w14:textId="7777777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Follicle size (mm</w:t>
            </w:r>
            <w:r w:rsidRPr="00AD0EB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 xml:space="preserve">)* 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8D2CF0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1CD67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1B691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14.7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ABA178" w14:textId="729A8EC9" w:rsidR="00EA7767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Non-breed/ Early-breed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35C3D2" w14:textId="0A838C5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Predictable environment</w:t>
            </w:r>
            <w:r w:rsidRPr="00E35CD5">
              <w:rPr>
                <w:vertAlign w:val="superscript"/>
              </w:rPr>
              <w:t>+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8A645C0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Perfito</w:t>
            </w:r>
            <w:proofErr w:type="spellEnd"/>
            <w:r>
              <w:rPr>
                <w:sz w:val="22"/>
                <w:szCs w:val="22"/>
              </w:rPr>
              <w:t xml:space="preserve"> et al., 2007</w:t>
            </w:r>
          </w:p>
        </w:tc>
      </w:tr>
      <w:tr w:rsidR="00EA7767" w:rsidRPr="004C5D59" w14:paraId="78954819" w14:textId="77777777" w:rsidTr="003D3763">
        <w:tc>
          <w:tcPr>
            <w:tcW w:w="2660" w:type="dxa"/>
            <w:tcBorders>
              <w:right w:val="dotted" w:sz="4" w:space="0" w:color="auto"/>
            </w:tcBorders>
          </w:tcPr>
          <w:p w14:paraId="7E5C16E2" w14:textId="77777777" w:rsidR="00EA7767" w:rsidRDefault="00EA7767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6E898" w14:textId="77777777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Follicle size (mm</w:t>
            </w:r>
            <w:r w:rsidRPr="00AD0EB1">
              <w:rPr>
                <w:sz w:val="22"/>
                <w:szCs w:val="22"/>
                <w:vertAlign w:val="superscript"/>
              </w:rPr>
              <w:t>3</w:t>
            </w:r>
            <w:r>
              <w:rPr>
                <w:sz w:val="22"/>
                <w:szCs w:val="22"/>
              </w:rPr>
              <w:t>)*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5D8E0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DD20E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F404444" w14:textId="77777777" w:rsidR="00EA7767" w:rsidRDefault="00EA7767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--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0D9344" w14:textId="59AE8558" w:rsidR="00EA7767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Non-breed</w:t>
            </w:r>
          </w:p>
        </w:tc>
        <w:tc>
          <w:tcPr>
            <w:tcW w:w="19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87D519" w14:textId="1A5E7DD2" w:rsidR="00EA7767" w:rsidRDefault="00EA7767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Unpredictable environment</w:t>
            </w:r>
            <w:r w:rsidRPr="00E35CD5">
              <w:rPr>
                <w:vertAlign w:val="superscript"/>
              </w:rPr>
              <w:t>+</w:t>
            </w: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5906E53D" w14:textId="77777777" w:rsidR="00EA7767" w:rsidRPr="0098200F" w:rsidRDefault="00EA7767" w:rsidP="00EA77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Perfito</w:t>
            </w:r>
            <w:proofErr w:type="spellEnd"/>
            <w:r>
              <w:rPr>
                <w:sz w:val="22"/>
                <w:szCs w:val="22"/>
              </w:rPr>
              <w:t xml:space="preserve"> et al., 2007</w:t>
            </w:r>
          </w:p>
        </w:tc>
      </w:tr>
      <w:tr w:rsidR="0009700F" w:rsidRPr="004C5D59" w14:paraId="572AC9DA" w14:textId="77777777" w:rsidTr="003D3763">
        <w:tc>
          <w:tcPr>
            <w:tcW w:w="2660" w:type="dxa"/>
            <w:tcBorders>
              <w:right w:val="dotted" w:sz="4" w:space="0" w:color="auto"/>
            </w:tcBorders>
          </w:tcPr>
          <w:p w14:paraId="11FBD95A" w14:textId="77777777" w:rsidR="0009700F" w:rsidRDefault="0009700F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CE0553" w14:textId="77777777" w:rsidR="0009700F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Follicle size (mm)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AEFA66" w14:textId="77777777" w:rsidR="0009700F" w:rsidRDefault="0009700F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2C8EC35" w14:textId="77777777" w:rsidR="0009700F" w:rsidRDefault="0009700F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3.9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1A55DE" w14:textId="77777777" w:rsidR="0009700F" w:rsidRDefault="0009700F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020EC8F5" w14:textId="2CECFBEB" w:rsidR="0009700F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Water restricted/ ad lib water</w:t>
            </w:r>
            <w:r w:rsidRPr="00E83D45">
              <w:rPr>
                <w:vertAlign w:val="superscript"/>
              </w:rPr>
              <w:t>++</w:t>
            </w:r>
          </w:p>
        </w:tc>
        <w:tc>
          <w:tcPr>
            <w:tcW w:w="1984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5CEA5C" w14:textId="1A892A8F" w:rsidR="0009700F" w:rsidRPr="00075F2A" w:rsidRDefault="0009700F" w:rsidP="00EA7767"/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997948D" w14:textId="77777777" w:rsidR="0009700F" w:rsidRPr="0098200F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et al., 2013</w:t>
            </w:r>
          </w:p>
        </w:tc>
      </w:tr>
      <w:tr w:rsidR="0009700F" w:rsidRPr="004C5D59" w14:paraId="61F3B05F" w14:textId="77777777" w:rsidTr="003D3763">
        <w:tc>
          <w:tcPr>
            <w:tcW w:w="2660" w:type="dxa"/>
            <w:tcBorders>
              <w:right w:val="dotted" w:sz="4" w:space="0" w:color="auto"/>
            </w:tcBorders>
          </w:tcPr>
          <w:p w14:paraId="1F8E87DD" w14:textId="77777777" w:rsidR="0009700F" w:rsidRDefault="0009700F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9FEF0B1" w14:textId="77777777" w:rsidR="0009700F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Oviduct mass (g)</w:t>
            </w:r>
          </w:p>
        </w:tc>
        <w:tc>
          <w:tcPr>
            <w:tcW w:w="992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464941D" w14:textId="77777777" w:rsidR="0009700F" w:rsidRDefault="0009700F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0.07</w:t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192DFE6" w14:textId="77777777" w:rsidR="0009700F" w:rsidRDefault="0009700F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0.23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1AA43959" w14:textId="77777777" w:rsidR="0009700F" w:rsidRDefault="0009700F" w:rsidP="00EA77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</w:t>
            </w:r>
          </w:p>
        </w:tc>
        <w:tc>
          <w:tcPr>
            <w:tcW w:w="1701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E34CB57" w14:textId="77777777" w:rsidR="0009700F" w:rsidRDefault="0009700F" w:rsidP="00EA7767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938C70D" w14:textId="0C3FFF60" w:rsidR="0009700F" w:rsidRDefault="0009700F" w:rsidP="00EA77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14:paraId="02390EA6" w14:textId="77777777" w:rsidR="0009700F" w:rsidRPr="0098200F" w:rsidRDefault="0009700F" w:rsidP="00EA77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Prior et al., 2013</w:t>
            </w:r>
          </w:p>
        </w:tc>
      </w:tr>
    </w:tbl>
    <w:p w14:paraId="5CC223F3" w14:textId="77777777" w:rsidR="000E3969" w:rsidRDefault="000E3969" w:rsidP="00B85F2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* Approximated from figure, ** experimental study, may not be fully developed, + breeding stage inferred, ++ experimental study, may not be fully developed or regressed, with breeding controlled via egg removal.</w:t>
      </w:r>
    </w:p>
    <w:p w14:paraId="581952D6" w14:textId="5E8BC52A" w:rsidR="00BB7B63" w:rsidRPr="00BB7B63" w:rsidRDefault="00BB7B63" w:rsidP="00BB7B63">
      <w:pPr>
        <w:pStyle w:val="EndNoteBibliography"/>
        <w:ind w:left="720" w:hanging="720"/>
        <w:rPr>
          <w:b/>
        </w:rPr>
      </w:pPr>
      <w:r w:rsidRPr="00BB7B63">
        <w:rPr>
          <w:b/>
        </w:rPr>
        <w:t>References:</w:t>
      </w:r>
    </w:p>
    <w:p w14:paraId="3317CBE7" w14:textId="77777777" w:rsidR="00BB7B63" w:rsidRDefault="00BB7B63" w:rsidP="00BB7B63">
      <w:pPr>
        <w:pStyle w:val="EndNoteBibliography"/>
        <w:ind w:left="720" w:hanging="720"/>
      </w:pPr>
    </w:p>
    <w:p w14:paraId="60353456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>
        <w:fldChar w:fldCharType="begin"/>
      </w:r>
      <w:r>
        <w:instrText xml:space="preserve"> ADDIN EN.REFLIST </w:instrText>
      </w:r>
      <w:r>
        <w:fldChar w:fldCharType="separate"/>
      </w:r>
      <w:r w:rsidRPr="00BB7B63">
        <w:rPr>
          <w:noProof/>
        </w:rPr>
        <w:t>Gupta S, and Maiti B. 1987. Seasonal changes in the oviduct of the pied myna (Aves: Sturnidae).</w:t>
      </w:r>
      <w:r w:rsidRPr="00BB7B63">
        <w:rPr>
          <w:i/>
          <w:noProof/>
        </w:rPr>
        <w:t xml:space="preserve"> Journal of morphology</w:t>
      </w:r>
      <w:r w:rsidRPr="00BB7B63">
        <w:rPr>
          <w:noProof/>
        </w:rPr>
        <w:t xml:space="preserve"> 194:247-263.</w:t>
      </w:r>
    </w:p>
    <w:p w14:paraId="7425C259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 xml:space="preserve">Hegner RE, and Wingfield JC. 1986. Behavioral and endocrine correlates of multiple brooding in the semicolonial house sparrow </w:t>
      </w:r>
      <w:r w:rsidRPr="00BB7B63">
        <w:rPr>
          <w:i/>
          <w:noProof/>
        </w:rPr>
        <w:t>Passer domesticus</w:t>
      </w:r>
      <w:r w:rsidRPr="00BB7B63">
        <w:rPr>
          <w:noProof/>
        </w:rPr>
        <w:t xml:space="preserve"> II. Females.</w:t>
      </w:r>
      <w:r w:rsidRPr="00BB7B63">
        <w:rPr>
          <w:i/>
          <w:noProof/>
        </w:rPr>
        <w:t xml:space="preserve"> Hormones and Behavior</w:t>
      </w:r>
      <w:r w:rsidRPr="00BB7B63">
        <w:rPr>
          <w:noProof/>
        </w:rPr>
        <w:t xml:space="preserve"> 20:313-326.</w:t>
      </w:r>
    </w:p>
    <w:p w14:paraId="679DBAE1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 xml:space="preserve">Keck WN. 1934. The control of the secondary sex characters in the English sparrow, </w:t>
      </w:r>
      <w:r w:rsidRPr="00BB7B63">
        <w:rPr>
          <w:i/>
          <w:noProof/>
        </w:rPr>
        <w:t>Passer domesticus</w:t>
      </w:r>
      <w:r w:rsidRPr="00BB7B63">
        <w:rPr>
          <w:noProof/>
        </w:rPr>
        <w:t xml:space="preserve"> (Linnaeus).</w:t>
      </w:r>
      <w:r w:rsidRPr="00BB7B63">
        <w:rPr>
          <w:i/>
          <w:noProof/>
        </w:rPr>
        <w:t xml:space="preserve"> Journal of Experimental Zoology</w:t>
      </w:r>
      <w:r w:rsidRPr="00BB7B63">
        <w:rPr>
          <w:noProof/>
        </w:rPr>
        <w:t xml:space="preserve"> 67:315-347.</w:t>
      </w:r>
    </w:p>
    <w:p w14:paraId="29172EF8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 xml:space="preserve">Kern MD. 1972. Seasonal changes in the reproductive system of the female white-crowned sparrow, </w:t>
      </w:r>
      <w:r w:rsidRPr="00BB7B63">
        <w:rPr>
          <w:i/>
          <w:noProof/>
        </w:rPr>
        <w:t>Zonotrichia leucophrys gambelii</w:t>
      </w:r>
      <w:r w:rsidRPr="00BB7B63">
        <w:rPr>
          <w:noProof/>
        </w:rPr>
        <w:t>, in captivity and in the field.</w:t>
      </w:r>
      <w:r w:rsidRPr="00BB7B63">
        <w:rPr>
          <w:i/>
          <w:noProof/>
        </w:rPr>
        <w:t xml:space="preserve"> Zeitschrift für Zellforschung und Mikroskopische Anatomie</w:t>
      </w:r>
      <w:r w:rsidRPr="00BB7B63">
        <w:rPr>
          <w:noProof/>
        </w:rPr>
        <w:t xml:space="preserve"> 126:297-319.</w:t>
      </w:r>
    </w:p>
    <w:p w14:paraId="7971A2C7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Krementz DG, and Ankney CD. 1986. Bioenergetics of egg production by female house sparrows.</w:t>
      </w:r>
      <w:r w:rsidRPr="00BB7B63">
        <w:rPr>
          <w:i/>
          <w:noProof/>
        </w:rPr>
        <w:t xml:space="preserve"> The Auk</w:t>
      </w:r>
      <w:r w:rsidRPr="00BB7B63">
        <w:rPr>
          <w:noProof/>
        </w:rPr>
        <w:t xml:space="preserve"> 103:299-305.</w:t>
      </w:r>
    </w:p>
    <w:p w14:paraId="177E9F76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 xml:space="preserve">Ojanen M. 1983. Egg development and the related nutrient reserve depletion in the pied flycatcher, </w:t>
      </w:r>
      <w:r w:rsidRPr="00BB7B63">
        <w:rPr>
          <w:i/>
          <w:noProof/>
        </w:rPr>
        <w:t>Ficedula hypoleuca</w:t>
      </w:r>
      <w:r w:rsidRPr="00BB7B63">
        <w:rPr>
          <w:noProof/>
        </w:rPr>
        <w:t>. Annales Zoologici Fennici: JSTOR. p 293-299.</w:t>
      </w:r>
    </w:p>
    <w:p w14:paraId="6FB82C62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Perfito N, Zann RA, Bentley GE, and Hau M. 2007. Opportunism at work: Habitat predictability affects reproductive readiness in free-living zebra finches.</w:t>
      </w:r>
      <w:r w:rsidRPr="00BB7B63">
        <w:rPr>
          <w:i/>
          <w:noProof/>
        </w:rPr>
        <w:t xml:space="preserve"> Functional Ecology</w:t>
      </w:r>
      <w:r w:rsidRPr="00BB7B63">
        <w:rPr>
          <w:noProof/>
        </w:rPr>
        <w:t xml:space="preserve"> 21:291-301.</w:t>
      </w:r>
    </w:p>
    <w:p w14:paraId="078BA67D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Prior NH, Heimovics SA, and Soma KK. 2013. Effects of water restriction on reproductive physiology and affiliative behavior in an opportunistically-breeding and monogamous songbird, the zebra finch.</w:t>
      </w:r>
      <w:r w:rsidRPr="00BB7B63">
        <w:rPr>
          <w:i/>
          <w:noProof/>
        </w:rPr>
        <w:t xml:space="preserve"> Hormones and Behavior</w:t>
      </w:r>
      <w:r w:rsidRPr="00BB7B63">
        <w:rPr>
          <w:noProof/>
        </w:rPr>
        <w:t xml:space="preserve"> 63:462-474.</w:t>
      </w:r>
    </w:p>
    <w:p w14:paraId="137EB8B1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 xml:space="preserve">Silverin B. 1978. Circannual rhythms in gonads and endocrine organs of the great tit </w:t>
      </w:r>
      <w:r w:rsidRPr="00BB7B63">
        <w:rPr>
          <w:i/>
          <w:noProof/>
        </w:rPr>
        <w:t>Parus major</w:t>
      </w:r>
      <w:r w:rsidRPr="00BB7B63">
        <w:rPr>
          <w:noProof/>
        </w:rPr>
        <w:t xml:space="preserve"> in south-west Sweden.</w:t>
      </w:r>
      <w:r w:rsidRPr="00BB7B63">
        <w:rPr>
          <w:i/>
          <w:noProof/>
        </w:rPr>
        <w:t xml:space="preserve"> Ornis Scandinavica</w:t>
      </w:r>
      <w:r w:rsidRPr="00BB7B63">
        <w:rPr>
          <w:noProof/>
        </w:rPr>
        <w:t>:207-213.</w:t>
      </w:r>
    </w:p>
    <w:p w14:paraId="7F802960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Silverin B, and Westin J. 1995. Influence of the opposite sex on photoperiodically induced LH and gonadal cycles in the willow tit (</w:t>
      </w:r>
      <w:r w:rsidRPr="00BB7B63">
        <w:rPr>
          <w:i/>
          <w:noProof/>
        </w:rPr>
        <w:t>Parus montanus</w:t>
      </w:r>
      <w:r w:rsidRPr="00BB7B63">
        <w:rPr>
          <w:noProof/>
        </w:rPr>
        <w:t>).</w:t>
      </w:r>
      <w:r w:rsidRPr="00BB7B63">
        <w:rPr>
          <w:i/>
          <w:noProof/>
        </w:rPr>
        <w:t xml:space="preserve"> Hormones and Behavior</w:t>
      </w:r>
      <w:r w:rsidRPr="00BB7B63">
        <w:rPr>
          <w:noProof/>
        </w:rPr>
        <w:t xml:space="preserve"> 29:207-215.</w:t>
      </w:r>
    </w:p>
    <w:p w14:paraId="72C04839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Vézina F, and Salvante KG. 2010. Behavioral and physiological flexibility are used by birds to manage energy and support investment in the early stages of reproduction.</w:t>
      </w:r>
      <w:r w:rsidRPr="00BB7B63">
        <w:rPr>
          <w:i/>
          <w:noProof/>
        </w:rPr>
        <w:t xml:space="preserve"> Current Zoology</w:t>
      </w:r>
      <w:r w:rsidRPr="00BB7B63">
        <w:rPr>
          <w:noProof/>
        </w:rPr>
        <w:t xml:space="preserve"> 56:767-792.</w:t>
      </w:r>
    </w:p>
    <w:p w14:paraId="559FB8C1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Wikelski M, Hau M, Douglas Robinson W, and Wingfield JC. 2003. Reproductive seasonality of seven neotropical passerine species.</w:t>
      </w:r>
      <w:r w:rsidRPr="00BB7B63">
        <w:rPr>
          <w:i/>
          <w:noProof/>
        </w:rPr>
        <w:t xml:space="preserve"> The Condor</w:t>
      </w:r>
      <w:r w:rsidRPr="00BB7B63">
        <w:rPr>
          <w:noProof/>
        </w:rPr>
        <w:t xml:space="preserve"> 105:683-695.</w:t>
      </w:r>
    </w:p>
    <w:p w14:paraId="6B7F9C4D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Wingfield J, and Farner DS. 1993. Endocrinology of reproduction in wild species (In: Avian Biology, vol. IX, Eds: DS Farner, JR King, KC Parkes)–Academic Press.</w:t>
      </w:r>
      <w:r w:rsidRPr="00BB7B63">
        <w:rPr>
          <w:i/>
          <w:noProof/>
        </w:rPr>
        <w:t xml:space="preserve"> New York</w:t>
      </w:r>
      <w:r w:rsidRPr="00BB7B63">
        <w:rPr>
          <w:noProof/>
        </w:rPr>
        <w:t>:163-327.</w:t>
      </w:r>
    </w:p>
    <w:p w14:paraId="199C2E29" w14:textId="77777777" w:rsidR="00BB7B63" w:rsidRPr="00BB7B63" w:rsidRDefault="00BB7B63" w:rsidP="00BB7B63">
      <w:pPr>
        <w:pStyle w:val="EndNoteBibliography"/>
        <w:ind w:left="720" w:hanging="720"/>
        <w:rPr>
          <w:noProof/>
        </w:rPr>
      </w:pPr>
      <w:r w:rsidRPr="00BB7B63">
        <w:rPr>
          <w:noProof/>
        </w:rPr>
        <w:t>Wingfield JC, and Farner DS. 1978. The endocrinology of a natural breeding population of the white-crowned sparrow (</w:t>
      </w:r>
      <w:r w:rsidRPr="00BB7B63">
        <w:rPr>
          <w:i/>
          <w:noProof/>
        </w:rPr>
        <w:t>Zonotrichia leucophrys pugetensis</w:t>
      </w:r>
      <w:r w:rsidRPr="00BB7B63">
        <w:rPr>
          <w:noProof/>
        </w:rPr>
        <w:t>).</w:t>
      </w:r>
      <w:r w:rsidRPr="00BB7B63">
        <w:rPr>
          <w:i/>
          <w:noProof/>
        </w:rPr>
        <w:t xml:space="preserve"> Physiological Zoology</w:t>
      </w:r>
      <w:r w:rsidRPr="00BB7B63">
        <w:rPr>
          <w:noProof/>
        </w:rPr>
        <w:t xml:space="preserve"> 51:188-205.</w:t>
      </w:r>
    </w:p>
    <w:p w14:paraId="1EEA004A" w14:textId="17A39BDC" w:rsidR="00987103" w:rsidRDefault="00BB7B63" w:rsidP="00BB7B63">
      <w:r>
        <w:fldChar w:fldCharType="end"/>
      </w:r>
    </w:p>
    <w:sectPr w:rsidR="00987103" w:rsidSect="008E479D">
      <w:pgSz w:w="15840" w:h="12240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00v2d255hwvdf3eeetop0f2qdvf29p2ex0fs&quot;&gt;Female Reprod&lt;record-ids&gt;&lt;item&gt;52&lt;/item&gt;&lt;item&gt;56&lt;/item&gt;&lt;item&gt;66&lt;/item&gt;&lt;item&gt;78&lt;/item&gt;&lt;item&gt;80&lt;/item&gt;&lt;item&gt;81&lt;/item&gt;&lt;item&gt;92&lt;/item&gt;&lt;/record-ids&gt;&lt;/item&gt;&lt;/Libraries&gt;"/>
  </w:docVars>
  <w:rsids>
    <w:rsidRoot w:val="000E3969"/>
    <w:rsid w:val="0009700F"/>
    <w:rsid w:val="000E3969"/>
    <w:rsid w:val="00147E4C"/>
    <w:rsid w:val="0029411A"/>
    <w:rsid w:val="002A4933"/>
    <w:rsid w:val="003B266B"/>
    <w:rsid w:val="003D3763"/>
    <w:rsid w:val="00451F62"/>
    <w:rsid w:val="004A579B"/>
    <w:rsid w:val="005B6E3F"/>
    <w:rsid w:val="006B3A3D"/>
    <w:rsid w:val="007415AE"/>
    <w:rsid w:val="007E762F"/>
    <w:rsid w:val="007F72CB"/>
    <w:rsid w:val="0083470A"/>
    <w:rsid w:val="008614C1"/>
    <w:rsid w:val="00893468"/>
    <w:rsid w:val="008E479D"/>
    <w:rsid w:val="00987103"/>
    <w:rsid w:val="00B52F0B"/>
    <w:rsid w:val="00B85F2D"/>
    <w:rsid w:val="00BB7B63"/>
    <w:rsid w:val="00BE6516"/>
    <w:rsid w:val="00CA5B25"/>
    <w:rsid w:val="00DF1577"/>
    <w:rsid w:val="00EA7767"/>
    <w:rsid w:val="00F36AC0"/>
    <w:rsid w:val="00F65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4C67E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6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BB7B63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BB7B63"/>
    <w:rPr>
      <w:rFonts w:ascii="Cambria" w:hAnsi="Cambria"/>
      <w:lang w:val="en-US"/>
    </w:rPr>
  </w:style>
  <w:style w:type="character" w:styleId="FootnoteReference">
    <w:name w:val="footnote reference"/>
    <w:uiPriority w:val="99"/>
    <w:rsid w:val="008E479D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9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39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B7B63"/>
    <w:pPr>
      <w:ind w:left="720"/>
      <w:contextualSpacing/>
    </w:pPr>
  </w:style>
  <w:style w:type="paragraph" w:customStyle="1" w:styleId="EndNoteBibliographyTitle">
    <w:name w:val="EndNote Bibliography Title"/>
    <w:basedOn w:val="Normal"/>
    <w:rsid w:val="00BB7B63"/>
    <w:pPr>
      <w:jc w:val="center"/>
    </w:pPr>
    <w:rPr>
      <w:rFonts w:ascii="Cambria" w:hAnsi="Cambria"/>
      <w:lang w:val="en-US"/>
    </w:rPr>
  </w:style>
  <w:style w:type="paragraph" w:customStyle="1" w:styleId="EndNoteBibliography">
    <w:name w:val="EndNote Bibliography"/>
    <w:basedOn w:val="Normal"/>
    <w:rsid w:val="00BB7B63"/>
    <w:rPr>
      <w:rFonts w:ascii="Cambria" w:hAnsi="Cambria"/>
      <w:lang w:val="en-US"/>
    </w:rPr>
  </w:style>
  <w:style w:type="character" w:styleId="FootnoteReference">
    <w:name w:val="footnote reference"/>
    <w:uiPriority w:val="99"/>
    <w:rsid w:val="008E479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1676</Words>
  <Characters>10193</Characters>
  <Application>Microsoft Macintosh Word</Application>
  <DocSecurity>0</DocSecurity>
  <Lines>203</Lines>
  <Paragraphs>156</Paragraphs>
  <ScaleCrop>false</ScaleCrop>
  <Company>Macquarie Uni</Company>
  <LinksUpToDate>false</LinksUpToDate>
  <CharactersWithSpaces>11713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Hurley</dc:creator>
  <cp:keywords/>
  <dc:description/>
  <cp:lastModifiedBy>Laura Hurley</cp:lastModifiedBy>
  <cp:revision>12</cp:revision>
  <dcterms:created xsi:type="dcterms:W3CDTF">2020-08-27T01:40:00Z</dcterms:created>
  <dcterms:modified xsi:type="dcterms:W3CDTF">2020-08-30T07:36:00Z</dcterms:modified>
</cp:coreProperties>
</file>