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93" w:rsidRPr="00B05CCA" w:rsidRDefault="00330793" w:rsidP="0033079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B05CCA">
        <w:rPr>
          <w:rFonts w:ascii="Times New Roman" w:hAnsi="Times New Roman" w:cs="Times New Roman"/>
          <w:b/>
          <w:bCs/>
          <w:sz w:val="22"/>
          <w:szCs w:val="22"/>
          <w:lang w:val="en-US"/>
        </w:rPr>
        <w:t>Supplemental Material</w:t>
      </w:r>
    </w:p>
    <w:p w:rsidR="00330793" w:rsidRPr="00B05CCA" w:rsidRDefault="00330793" w:rsidP="00330793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30793" w:rsidRPr="00B05CCA" w:rsidRDefault="00330793" w:rsidP="0033079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B05CCA">
        <w:rPr>
          <w:rFonts w:ascii="Times New Roman" w:hAnsi="Times New Roman" w:cs="Times New Roman"/>
          <w:sz w:val="22"/>
          <w:szCs w:val="22"/>
          <w:lang w:val="en-US"/>
        </w:rPr>
        <w:t>A valid and reliable measure of nothing: Disentangling the</w:t>
      </w:r>
      <w:r w:rsidRPr="00B05CC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05CCA">
        <w:rPr>
          <w:rFonts w:ascii="Times New Roman" w:hAnsi="Times New Roman" w:cs="Times New Roman"/>
          <w:sz w:val="22"/>
          <w:szCs w:val="22"/>
          <w:lang w:val="en-US"/>
        </w:rPr>
        <w:t>“Gavagai effect” in survey data</w:t>
      </w:r>
    </w:p>
    <w:p w:rsidR="003971A6" w:rsidRPr="00B05CCA" w:rsidRDefault="003971A6" w:rsidP="00330793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05CCA" w:rsidRPr="00B05CCA" w:rsidRDefault="00B05CCA" w:rsidP="00B05C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B05CCA">
        <w:rPr>
          <w:rFonts w:ascii="Times New Roman" w:hAnsi="Times New Roman" w:cs="Times New Roman"/>
          <w:sz w:val="22"/>
          <w:szCs w:val="22"/>
          <w:lang w:val="en-US"/>
        </w:rPr>
        <w:t xml:space="preserve">By </w:t>
      </w:r>
      <w:r>
        <w:rPr>
          <w:rFonts w:ascii="Times New Roman" w:hAnsi="Times New Roman" w:cs="Times New Roman"/>
          <w:sz w:val="22"/>
          <w:szCs w:val="22"/>
          <w:lang w:val="en-US"/>
        </w:rPr>
        <w:t>authors</w:t>
      </w:r>
    </w:p>
    <w:p w:rsidR="00B05CCA" w:rsidRPr="00B05CCA" w:rsidRDefault="00B05CCA" w:rsidP="00B05CCA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B05CCA" w:rsidRPr="00B05CCA" w:rsidRDefault="00B05CCA" w:rsidP="00B05CCA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3971A6" w:rsidRPr="00B05CCA" w:rsidRDefault="00B05CCA" w:rsidP="00B05CCA">
      <w:pPr>
        <w:rPr>
          <w:rFonts w:ascii="Times New Roman" w:hAnsi="Times New Roman" w:cs="Times New Roman"/>
          <w:b/>
          <w:bCs/>
          <w:lang w:val="en-US"/>
        </w:rPr>
      </w:pPr>
      <w:r w:rsidRPr="00B05CC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Simulations of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response vectors inattentive responders</w:t>
      </w:r>
    </w:p>
    <w:p w:rsidR="003971A6" w:rsidRPr="00B05CCA" w:rsidRDefault="003971A6" w:rsidP="00330793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971A6" w:rsidRDefault="00506BF0" w:rsidP="00506BF0">
      <w:pPr>
        <w:spacing w:line="360" w:lineRule="auto"/>
        <w:ind w:firstLine="35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05CCA">
        <w:rPr>
          <w:rFonts w:ascii="Times New Roman" w:hAnsi="Times New Roman" w:cs="Times New Roman"/>
          <w:sz w:val="22"/>
          <w:szCs w:val="22"/>
          <w:lang w:val="en-US"/>
        </w:rPr>
        <w:t xml:space="preserve">Here, we present </w:t>
      </w:r>
      <w:r w:rsidRPr="00B05CCA">
        <w:rPr>
          <w:rFonts w:ascii="Times New Roman" w:hAnsi="Times New Roman" w:cs="Times New Roman"/>
          <w:sz w:val="22"/>
          <w:szCs w:val="22"/>
          <w:lang w:val="en-US"/>
        </w:rPr>
        <w:t xml:space="preserve">a simple simulation </w:t>
      </w:r>
      <w:r w:rsidRPr="00B05CCA">
        <w:rPr>
          <w:rFonts w:ascii="Times New Roman" w:hAnsi="Times New Roman" w:cs="Times New Roman"/>
          <w:sz w:val="22"/>
          <w:szCs w:val="22"/>
          <w:lang w:val="en-US"/>
        </w:rPr>
        <w:t xml:space="preserve">of </w:t>
      </w:r>
      <w:r w:rsidRPr="00B05CCA">
        <w:rPr>
          <w:rFonts w:ascii="Times New Roman" w:hAnsi="Times New Roman" w:cs="Times New Roman"/>
          <w:sz w:val="22"/>
          <w:szCs w:val="22"/>
          <w:lang w:val="en-US"/>
        </w:rPr>
        <w:t xml:space="preserve">factor analysis fitting under conditions of a data set intentionally designed to represent four classes of respondents. </w:t>
      </w:r>
      <w:r w:rsidR="003971A6" w:rsidRPr="00B05CCA">
        <w:rPr>
          <w:rFonts w:ascii="Times New Roman" w:hAnsi="Times New Roman" w:cs="Times New Roman"/>
          <w:sz w:val="22"/>
          <w:szCs w:val="22"/>
          <w:lang w:val="en-US"/>
        </w:rPr>
        <w:t>The first class (n=100) emulates random respondents, by generating random responses between values 1 and 5 (</w:t>
      </w:r>
      <w:r w:rsidR="006F554C" w:rsidRPr="00B05CCA">
        <w:rPr>
          <w:rFonts w:ascii="Times New Roman" w:hAnsi="Times New Roman" w:cs="Times New Roman"/>
          <w:sz w:val="22"/>
          <w:szCs w:val="22"/>
          <w:lang w:val="en-US"/>
        </w:rPr>
        <w:t xml:space="preserve">assuming </w:t>
      </w:r>
      <w:r w:rsidR="003971A6" w:rsidRPr="00B05CCA">
        <w:rPr>
          <w:rFonts w:ascii="Times New Roman" w:hAnsi="Times New Roman" w:cs="Times New Roman"/>
          <w:sz w:val="22"/>
          <w:szCs w:val="22"/>
          <w:lang w:val="en-US"/>
        </w:rPr>
        <w:t xml:space="preserve">a 5-point Likert scale). For the second to the fourth classes, we generate random values to reproduce </w:t>
      </w:r>
      <w:proofErr w:type="spellStart"/>
      <w:r w:rsidR="003971A6" w:rsidRPr="00B05CCA">
        <w:rPr>
          <w:rFonts w:ascii="Times New Roman" w:hAnsi="Times New Roman" w:cs="Times New Roman"/>
          <w:sz w:val="22"/>
          <w:szCs w:val="22"/>
          <w:lang w:val="en-US"/>
        </w:rPr>
        <w:t>straightlining</w:t>
      </w:r>
      <w:proofErr w:type="spellEnd"/>
      <w:r w:rsidR="003971A6" w:rsidRPr="00B05CCA">
        <w:rPr>
          <w:rFonts w:ascii="Times New Roman" w:hAnsi="Times New Roman" w:cs="Times New Roman"/>
          <w:sz w:val="22"/>
          <w:szCs w:val="22"/>
          <w:lang w:val="en-US"/>
        </w:rPr>
        <w:t xml:space="preserve"> responding, such as disacquiescent responders (Class 2, n=33; random values between 1 and 2), middle </w:t>
      </w:r>
      <w:r w:rsidR="006F554C" w:rsidRPr="00B05CCA">
        <w:rPr>
          <w:rFonts w:ascii="Times New Roman" w:hAnsi="Times New Roman" w:cs="Times New Roman"/>
          <w:sz w:val="22"/>
          <w:szCs w:val="22"/>
          <w:lang w:val="en-US"/>
        </w:rPr>
        <w:t xml:space="preserve">point responders </w:t>
      </w:r>
      <w:r w:rsidR="003971A6" w:rsidRPr="00B05CCA">
        <w:rPr>
          <w:rFonts w:ascii="Times New Roman" w:hAnsi="Times New Roman" w:cs="Times New Roman"/>
          <w:sz w:val="22"/>
          <w:szCs w:val="22"/>
          <w:lang w:val="en-US"/>
        </w:rPr>
        <w:t>(Class 3, n=33; fixed values of 3 without variance), and acquiescent responders (Class 4, n=34; random values between 4 and 5). This sample is, for construction purposes, composed of unordered categories.</w:t>
      </w:r>
      <w:r w:rsidR="00B05CC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05CCA" w:rsidRPr="00B05CCA">
        <w:rPr>
          <w:rFonts w:ascii="Times New Roman" w:hAnsi="Times New Roman" w:cs="Times New Roman"/>
          <w:sz w:val="22"/>
          <w:szCs w:val="22"/>
          <w:lang w:val="en-US"/>
        </w:rPr>
        <w:t>Figure S1 shows the mean response histograms of 10 items of five categories from 200 simulated response vectors organized into four classes</w:t>
      </w:r>
      <w:r w:rsidR="00B05CC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F554C" w:rsidRPr="00B05CCA" w:rsidRDefault="006F554C" w:rsidP="006F554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F554C" w:rsidRDefault="006F554C" w:rsidP="006F554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05CCA">
        <w:rPr>
          <w:rFonts w:ascii="Times New Roman" w:hAnsi="Times New Roman" w:cs="Times New Roman"/>
          <w:sz w:val="22"/>
          <w:szCs w:val="22"/>
          <w:lang w:val="en-US"/>
        </w:rPr>
        <w:t xml:space="preserve">Figure S1. </w:t>
      </w:r>
      <w:r w:rsidRPr="00B05CCA">
        <w:rPr>
          <w:rFonts w:ascii="Times New Roman" w:hAnsi="Times New Roman" w:cs="Times New Roman"/>
          <w:sz w:val="22"/>
          <w:szCs w:val="22"/>
          <w:lang w:val="en-US"/>
        </w:rPr>
        <w:t>Distribution of the mean item response in four classes of inattentive respondents</w:t>
      </w:r>
      <w:r w:rsidRPr="00B05CC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05CCA">
        <w:rPr>
          <w:rFonts w:ascii="Times New Roman" w:hAnsi="Times New Roman" w:cs="Times New Roman"/>
          <w:sz w:val="22"/>
          <w:szCs w:val="22"/>
          <w:lang w:val="en-US"/>
        </w:rPr>
        <w:t>(simulated data).</w:t>
      </w:r>
    </w:p>
    <w:p w:rsidR="00B05CCA" w:rsidRPr="00B05CCA" w:rsidRDefault="00B05CCA" w:rsidP="006F554C">
      <w:pPr>
        <w:spacing w:line="36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506BF0" w:rsidRDefault="00506BF0" w:rsidP="00B05CCA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B05CCA">
        <w:rPr>
          <w:rFonts w:ascii="Times New Roman" w:hAnsi="Times New Roman" w:cs="Times New Roman"/>
          <w:sz w:val="22"/>
          <w:szCs w:val="22"/>
          <w:lang w:val="en-US"/>
        </w:rPr>
        <w:drawing>
          <wp:inline distT="0" distB="0" distL="0" distR="0" wp14:anchorId="61380A29" wp14:editId="43DC6F60">
            <wp:extent cx="4547757" cy="3740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7757" cy="3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CCA" w:rsidRDefault="00B05CCA" w:rsidP="00B05CCA">
      <w:pPr>
        <w:spacing w:line="360" w:lineRule="auto"/>
        <w:ind w:firstLine="357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Table S1 shows </w:t>
      </w:r>
      <w:r w:rsidR="00DF2AEF">
        <w:rPr>
          <w:rFonts w:ascii="Times New Roman" w:hAnsi="Times New Roman" w:cs="Times New Roman"/>
          <w:sz w:val="22"/>
          <w:szCs w:val="22"/>
          <w:lang w:val="en-US"/>
        </w:rPr>
        <w:t xml:space="preserve">the fit </w:t>
      </w:r>
      <w:r w:rsidR="00DF2AEF" w:rsidRPr="00DF2AEF">
        <w:rPr>
          <w:rFonts w:ascii="Times New Roman" w:hAnsi="Times New Roman" w:cs="Times New Roman"/>
          <w:sz w:val="22"/>
          <w:szCs w:val="22"/>
          <w:lang w:val="en-US"/>
        </w:rPr>
        <w:t>we compared the fit of the factor model (continuous structure) with models that examine the presence of classes</w:t>
      </w:r>
      <w:r w:rsidR="00AA6592">
        <w:rPr>
          <w:rFonts w:ascii="Times New Roman" w:hAnsi="Times New Roman" w:cs="Times New Roman"/>
          <w:sz w:val="22"/>
          <w:szCs w:val="22"/>
          <w:lang w:val="en-US"/>
        </w:rPr>
        <w:t>.</w:t>
      </w:r>
      <w:bookmarkStart w:id="0" w:name="_GoBack"/>
      <w:bookmarkEnd w:id="0"/>
    </w:p>
    <w:p w:rsidR="00DF2AEF" w:rsidRDefault="00DF2AEF" w:rsidP="00B05CCA">
      <w:pPr>
        <w:spacing w:line="360" w:lineRule="auto"/>
        <w:ind w:firstLine="357"/>
        <w:rPr>
          <w:rFonts w:ascii="Times New Roman" w:hAnsi="Times New Roman" w:cs="Times New Roman"/>
          <w:sz w:val="22"/>
          <w:szCs w:val="22"/>
          <w:lang w:val="en-US"/>
        </w:rPr>
      </w:pPr>
    </w:p>
    <w:p w:rsidR="00DF2AEF" w:rsidRPr="00DF2AEF" w:rsidRDefault="00DF2AEF" w:rsidP="00DF2AEF">
      <w:pPr>
        <w:spacing w:line="360" w:lineRule="auto"/>
        <w:ind w:left="1560"/>
        <w:rPr>
          <w:rFonts w:ascii="Times New Roman" w:hAnsi="Times New Roman" w:cs="Times New Roman"/>
          <w:sz w:val="22"/>
          <w:szCs w:val="22"/>
          <w:lang w:val="en-US"/>
        </w:rPr>
      </w:pPr>
      <w:r w:rsidRPr="00DF2AEF">
        <w:rPr>
          <w:rFonts w:ascii="Times New Roman" w:hAnsi="Times New Roman" w:cs="Times New Roman"/>
          <w:sz w:val="22"/>
          <w:szCs w:val="22"/>
          <w:lang w:val="en-US"/>
        </w:rPr>
        <w:t xml:space="preserve">Table </w:t>
      </w:r>
      <w:r>
        <w:rPr>
          <w:rFonts w:ascii="Times New Roman" w:hAnsi="Times New Roman" w:cs="Times New Roman"/>
          <w:sz w:val="22"/>
          <w:szCs w:val="22"/>
          <w:lang w:val="en-US"/>
        </w:rPr>
        <w:t>S1</w:t>
      </w:r>
      <w:r w:rsidRPr="00DF2AEF">
        <w:rPr>
          <w:rFonts w:ascii="Times New Roman" w:hAnsi="Times New Roman" w:cs="Times New Roman"/>
          <w:sz w:val="22"/>
          <w:szCs w:val="22"/>
          <w:lang w:val="en-US"/>
        </w:rPr>
        <w:t>. Model fit of simulated data.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1168"/>
        <w:gridCol w:w="1168"/>
        <w:gridCol w:w="1163"/>
      </w:tblGrid>
      <w:tr w:rsidR="00DF2AEF" w:rsidRPr="00DE00D3" w:rsidTr="00DF2AEF">
        <w:trPr>
          <w:trHeight w:val="272"/>
          <w:jc w:val="center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DF2AEF" w:rsidRPr="00DE00D3" w:rsidRDefault="00DF2AEF" w:rsidP="00CB617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E00D3">
              <w:rPr>
                <w:rFonts w:ascii="Times New Roman" w:hAnsi="Times New Roman" w:cs="Times New Roman"/>
                <w:b/>
                <w:lang w:val="en-US"/>
              </w:rPr>
              <w:t>Model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DF2AEF" w:rsidRPr="00DE00D3" w:rsidRDefault="00DF2AEF" w:rsidP="00CB61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E00D3">
              <w:rPr>
                <w:rFonts w:ascii="Times New Roman" w:hAnsi="Times New Roman" w:cs="Times New Roman"/>
                <w:b/>
                <w:lang w:val="en-US"/>
              </w:rPr>
              <w:t>AIC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DF2AEF" w:rsidRPr="00DE00D3" w:rsidRDefault="00DF2AEF" w:rsidP="00CB61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E00D3">
              <w:rPr>
                <w:rFonts w:ascii="Times New Roman" w:hAnsi="Times New Roman" w:cs="Times New Roman"/>
                <w:b/>
                <w:lang w:val="en-US"/>
              </w:rPr>
              <w:t>BIC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DF2AEF" w:rsidRPr="00DE00D3" w:rsidRDefault="00DF2AEF" w:rsidP="00CB61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E00D3">
              <w:rPr>
                <w:rFonts w:ascii="Times New Roman" w:hAnsi="Times New Roman" w:cs="Times New Roman"/>
                <w:b/>
                <w:lang w:val="en-US"/>
              </w:rPr>
              <w:t>adjBIC</w:t>
            </w:r>
            <w:proofErr w:type="spellEnd"/>
          </w:p>
        </w:tc>
      </w:tr>
      <w:tr w:rsidR="00DF2AEF" w:rsidRPr="00DE00D3" w:rsidTr="00DF2AEF">
        <w:trPr>
          <w:trHeight w:val="272"/>
          <w:jc w:val="center"/>
        </w:trPr>
        <w:tc>
          <w:tcPr>
            <w:tcW w:w="2207" w:type="dxa"/>
            <w:tcBorders>
              <w:top w:val="single" w:sz="4" w:space="0" w:color="auto"/>
            </w:tcBorders>
          </w:tcPr>
          <w:p w:rsidR="00DF2AEF" w:rsidRPr="00EE6925" w:rsidRDefault="00DF2AEF" w:rsidP="00CB617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One dimensional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DF2AEF" w:rsidRPr="00EE6925" w:rsidRDefault="00DF2AEF" w:rsidP="00CB617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5,835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DF2AEF" w:rsidRPr="00EE6925" w:rsidRDefault="00DF2AEF" w:rsidP="00CB617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6,000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DF2AEF" w:rsidRPr="00EE6925" w:rsidRDefault="00DF2AEF" w:rsidP="00CB617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5,841</w:t>
            </w:r>
          </w:p>
        </w:tc>
      </w:tr>
      <w:tr w:rsidR="00DF2AEF" w:rsidRPr="00DE00D3" w:rsidTr="00DF2AEF">
        <w:trPr>
          <w:trHeight w:val="272"/>
          <w:jc w:val="center"/>
        </w:trPr>
        <w:tc>
          <w:tcPr>
            <w:tcW w:w="2207" w:type="dxa"/>
          </w:tcPr>
          <w:p w:rsidR="00DF2AEF" w:rsidRPr="00EE6925" w:rsidRDefault="00DF2AEF" w:rsidP="00CB617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LCA 2 Classes</w:t>
            </w:r>
          </w:p>
        </w:tc>
        <w:tc>
          <w:tcPr>
            <w:tcW w:w="1168" w:type="dxa"/>
          </w:tcPr>
          <w:p w:rsidR="00DF2AEF" w:rsidRPr="00EE6925" w:rsidRDefault="00DF2AEF" w:rsidP="00CB617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5,599</w:t>
            </w:r>
          </w:p>
        </w:tc>
        <w:tc>
          <w:tcPr>
            <w:tcW w:w="1168" w:type="dxa"/>
          </w:tcPr>
          <w:p w:rsidR="00DF2AEF" w:rsidRPr="00EE6925" w:rsidRDefault="00DF2AEF" w:rsidP="00CB617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5,866</w:t>
            </w:r>
          </w:p>
        </w:tc>
        <w:tc>
          <w:tcPr>
            <w:tcW w:w="1163" w:type="dxa"/>
          </w:tcPr>
          <w:p w:rsidR="00DF2AEF" w:rsidRPr="00EE6925" w:rsidRDefault="00DF2AEF" w:rsidP="00CB617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5,609</w:t>
            </w:r>
          </w:p>
        </w:tc>
      </w:tr>
      <w:tr w:rsidR="00DF2AEF" w:rsidRPr="00DE00D3" w:rsidTr="00DF2AEF">
        <w:trPr>
          <w:trHeight w:val="272"/>
          <w:jc w:val="center"/>
        </w:trPr>
        <w:tc>
          <w:tcPr>
            <w:tcW w:w="2207" w:type="dxa"/>
          </w:tcPr>
          <w:p w:rsidR="00DF2AEF" w:rsidRPr="00EE6925" w:rsidRDefault="00DF2AEF" w:rsidP="00CB617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LCA 3 Classes</w:t>
            </w:r>
          </w:p>
        </w:tc>
        <w:tc>
          <w:tcPr>
            <w:tcW w:w="1168" w:type="dxa"/>
          </w:tcPr>
          <w:p w:rsidR="00DF2AEF" w:rsidRPr="00EE6925" w:rsidRDefault="00DF2AEF" w:rsidP="00CB617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5,145</w:t>
            </w:r>
          </w:p>
        </w:tc>
        <w:tc>
          <w:tcPr>
            <w:tcW w:w="1168" w:type="dxa"/>
          </w:tcPr>
          <w:p w:rsidR="00DF2AEF" w:rsidRPr="00EE6925" w:rsidRDefault="00DF2AEF" w:rsidP="00CB617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5,548</w:t>
            </w:r>
          </w:p>
        </w:tc>
        <w:tc>
          <w:tcPr>
            <w:tcW w:w="1163" w:type="dxa"/>
          </w:tcPr>
          <w:p w:rsidR="00DF2AEF" w:rsidRPr="00EE6925" w:rsidRDefault="00DF2AEF" w:rsidP="00CB617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5,161</w:t>
            </w:r>
          </w:p>
        </w:tc>
      </w:tr>
      <w:tr w:rsidR="00DF2AEF" w:rsidRPr="00DE00D3" w:rsidTr="00DF2AEF">
        <w:trPr>
          <w:trHeight w:val="272"/>
          <w:jc w:val="center"/>
        </w:trPr>
        <w:tc>
          <w:tcPr>
            <w:tcW w:w="2207" w:type="dxa"/>
          </w:tcPr>
          <w:p w:rsidR="00DF2AEF" w:rsidRPr="00EE6925" w:rsidRDefault="00DF2AEF" w:rsidP="00CB617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LCA 4 Classes</w:t>
            </w:r>
          </w:p>
        </w:tc>
        <w:tc>
          <w:tcPr>
            <w:tcW w:w="1168" w:type="dxa"/>
          </w:tcPr>
          <w:p w:rsidR="00DF2AEF" w:rsidRPr="00EE6925" w:rsidRDefault="00DF2AEF" w:rsidP="00CB617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4,892</w:t>
            </w:r>
          </w:p>
        </w:tc>
        <w:tc>
          <w:tcPr>
            <w:tcW w:w="1168" w:type="dxa"/>
          </w:tcPr>
          <w:p w:rsidR="00DF2AEF" w:rsidRPr="00EE6925" w:rsidRDefault="00DF2AEF" w:rsidP="00CB617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5,429</w:t>
            </w:r>
          </w:p>
        </w:tc>
        <w:tc>
          <w:tcPr>
            <w:tcW w:w="1163" w:type="dxa"/>
          </w:tcPr>
          <w:p w:rsidR="00DF2AEF" w:rsidRPr="00EE6925" w:rsidRDefault="00DF2AEF" w:rsidP="00CB617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4,913</w:t>
            </w:r>
          </w:p>
        </w:tc>
      </w:tr>
      <w:tr w:rsidR="00DF2AEF" w:rsidRPr="00DE00D3" w:rsidTr="00DF2AEF">
        <w:trPr>
          <w:trHeight w:val="272"/>
          <w:jc w:val="center"/>
        </w:trPr>
        <w:tc>
          <w:tcPr>
            <w:tcW w:w="2207" w:type="dxa"/>
            <w:tcBorders>
              <w:bottom w:val="single" w:sz="4" w:space="0" w:color="auto"/>
            </w:tcBorders>
          </w:tcPr>
          <w:p w:rsidR="00DF2AEF" w:rsidRPr="00EE6925" w:rsidRDefault="00DF2AEF" w:rsidP="00CB617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LCA 5 Classes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DF2AEF" w:rsidRPr="00EE6925" w:rsidRDefault="00DF2AEF" w:rsidP="00CB617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4,894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DF2AEF" w:rsidRPr="00EE6925" w:rsidRDefault="00DF2AEF" w:rsidP="00CB617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5,567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F2AEF" w:rsidRPr="00EE6925" w:rsidRDefault="00DF2AEF" w:rsidP="00CB617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69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4,921</w:t>
            </w:r>
          </w:p>
        </w:tc>
      </w:tr>
    </w:tbl>
    <w:p w:rsidR="00DF2AEF" w:rsidRPr="00DE00D3" w:rsidRDefault="00DF2AEF" w:rsidP="00DF2AEF">
      <w:pPr>
        <w:rPr>
          <w:rFonts w:ascii="Times New Roman" w:hAnsi="Times New Roman" w:cs="Times New Roman"/>
          <w:sz w:val="10"/>
          <w:szCs w:val="10"/>
          <w:lang w:val="en-US"/>
        </w:rPr>
      </w:pPr>
    </w:p>
    <w:p w:rsidR="00DF2AEF" w:rsidRPr="008E6ED4" w:rsidRDefault="00DF2AEF" w:rsidP="00DF2AEF">
      <w:pPr>
        <w:spacing w:line="360" w:lineRule="auto"/>
        <w:ind w:left="1985" w:right="1467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E6ED4">
        <w:rPr>
          <w:rFonts w:ascii="Times New Roman" w:hAnsi="Times New Roman" w:cs="Times New Roman"/>
          <w:b/>
          <w:sz w:val="20"/>
          <w:szCs w:val="20"/>
          <w:lang w:val="en-US"/>
        </w:rPr>
        <w:t>Note.</w:t>
      </w:r>
      <w:r w:rsidRPr="008E6ED4">
        <w:rPr>
          <w:rFonts w:ascii="Times New Roman" w:hAnsi="Times New Roman" w:cs="Times New Roman"/>
          <w:sz w:val="20"/>
          <w:szCs w:val="20"/>
          <w:lang w:val="en-US"/>
        </w:rPr>
        <w:t xml:space="preserve"> LCA=Latent class analysis; AIC=Akaike information criterion; BIC=Bayesian information criterion; </w:t>
      </w:r>
      <w:proofErr w:type="spellStart"/>
      <w:r w:rsidRPr="008E6ED4">
        <w:rPr>
          <w:rFonts w:ascii="Times New Roman" w:hAnsi="Times New Roman" w:cs="Times New Roman"/>
          <w:sz w:val="20"/>
          <w:szCs w:val="20"/>
          <w:lang w:val="en-US"/>
        </w:rPr>
        <w:t>adjBIC</w:t>
      </w:r>
      <w:proofErr w:type="spellEnd"/>
      <w:r w:rsidRPr="008E6ED4">
        <w:rPr>
          <w:rFonts w:ascii="Times New Roman" w:hAnsi="Times New Roman" w:cs="Times New Roman"/>
          <w:sz w:val="20"/>
          <w:szCs w:val="20"/>
          <w:lang w:val="en-US"/>
        </w:rPr>
        <w:t>=Sample-size adjusted BIC.</w:t>
      </w:r>
    </w:p>
    <w:p w:rsidR="00DF2AEF" w:rsidRPr="00B05CCA" w:rsidRDefault="00DF2AEF" w:rsidP="00B05CCA">
      <w:pPr>
        <w:spacing w:line="360" w:lineRule="auto"/>
        <w:ind w:firstLine="357"/>
        <w:rPr>
          <w:rFonts w:ascii="Times New Roman" w:hAnsi="Times New Roman" w:cs="Times New Roman"/>
          <w:sz w:val="22"/>
          <w:szCs w:val="22"/>
          <w:lang w:val="en-US"/>
        </w:rPr>
      </w:pPr>
    </w:p>
    <w:sectPr w:rsidR="00DF2AEF" w:rsidRPr="00B05CCA" w:rsidSect="00816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93"/>
    <w:rsid w:val="00330793"/>
    <w:rsid w:val="003971A6"/>
    <w:rsid w:val="00506BF0"/>
    <w:rsid w:val="006F554C"/>
    <w:rsid w:val="00816298"/>
    <w:rsid w:val="0092428F"/>
    <w:rsid w:val="00AA6592"/>
    <w:rsid w:val="00B05CCA"/>
    <w:rsid w:val="00D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DBAD66B"/>
  <w15:chartTrackingRefBased/>
  <w15:docId w15:val="{66B5C0BE-2F0A-3245-8B28-FF98AD81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079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793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DF2AEF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7E74F-A8FC-B141-8B04-4A6883B1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Ponce Cisternas</dc:creator>
  <cp:keywords/>
  <dc:description/>
  <cp:lastModifiedBy>Fernando Ponce Cisternas</cp:lastModifiedBy>
  <cp:revision>4</cp:revision>
  <dcterms:created xsi:type="dcterms:W3CDTF">2020-04-14T15:56:00Z</dcterms:created>
  <dcterms:modified xsi:type="dcterms:W3CDTF">2020-04-16T12:46:00Z</dcterms:modified>
</cp:coreProperties>
</file>