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12CDB" w:rsidR="00012CDB" w:rsidP="00012CDB" w:rsidRDefault="25A85221" w14:paraId="369FDCCF" wp14:textId="0E9D486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11C5BE43" w:rsidR="11C5BE43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Supplemental Information S2: </w:t>
      </w:r>
      <w:r w:rsidRPr="11C5BE43" w:rsidR="11C5BE43">
        <w:rPr>
          <w:rFonts w:ascii="Times New Roman" w:hAnsi="Times New Roman"/>
          <w:sz w:val="24"/>
          <w:szCs w:val="24"/>
          <w:lang w:val="en-US"/>
        </w:rPr>
        <w:t>List of studied specimens.</w:t>
      </w:r>
    </w:p>
    <w:p xmlns:wp14="http://schemas.microsoft.com/office/word/2010/wordml" w:rsidRPr="00880478" w:rsidR="00A124EA" w:rsidP="00012CDB" w:rsidRDefault="00A124EA" w14:paraId="672A6659" wp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xmlns:wp14="http://schemas.microsoft.com/office/word/2010/wordml" w:rsidRPr="00C46044" w:rsidR="00012CDB" w:rsidP="00012CDB" w:rsidRDefault="00012CDB" w14:paraId="0A37501D" wp14:textId="561534B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 xml:space="preserve">Studied specimens belong to the following mammal collections: BM, The Natural History Museum, London, United Kingdom; MECN, Instituto Nacional de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>Biodiversidad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 xml:space="preserve">, Quito, Ecuador; 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MEPN, Museo de la Escuela Politécnica Nacional, Quito, Ecuador; QCAZ, Museo Pontificia Universidad Católica del Ecuador, Quito, Ecuador; 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ROM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, Royal Ontario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Museum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, Toronto,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Canada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; UMMZ,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Museum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Zoology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University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Michigan, Ann Arbor, Michigan, USA; and 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ZFMK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Zoologisches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Forschungsmuseum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 Alexander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Koenig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, Bonn,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Germany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 xml:space="preserve">. 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>Specimens marked with an * are holotypes.</w:t>
      </w:r>
    </w:p>
    <w:p xmlns:wp14="http://schemas.microsoft.com/office/word/2010/wordml" w:rsidRPr="00A124EA" w:rsidR="00012CDB" w:rsidP="00012CDB" w:rsidRDefault="00012CDB" w14:paraId="6B94CCA2" wp14:textId="79B34CEC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en-US"/>
        </w:rPr>
        <w:t>Mindomys</w:t>
      </w:r>
      <w:proofErr w:type="spellEnd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en-US"/>
        </w:rPr>
        <w:t>hammondi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 xml:space="preserve"> (n = 8): Pichincha, San Miguel de los Bancos,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>Mindo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  <w:lang w:val="en-US"/>
        </w:rPr>
        <w:t xml:space="preserve"> (BM 13.10.24.58*, 34.9.10.212, 34.9.10.210, 13.10.24.57, 34.9.10.213, 34.9.10.211, 34.9.10.209, UMMZ 155827); Esmeraldas, Alto Tambo (ROM 105820).</w:t>
      </w:r>
    </w:p>
    <w:p xmlns:wp14="http://schemas.microsoft.com/office/word/2010/wordml" w:rsidRPr="00F63607" w:rsidR="00012CDB" w:rsidP="00012CDB" w:rsidRDefault="00012CDB" w14:paraId="3D22A26A" wp14:textId="77777777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12CDB">
        <w:rPr>
          <w:rFonts w:ascii="Times New Roman" w:hAnsi="Times New Roman"/>
          <w:b/>
          <w:i/>
          <w:color w:val="000000"/>
          <w:sz w:val="24"/>
          <w:szCs w:val="24"/>
        </w:rPr>
        <w:t>Nephelomys albigularis</w:t>
      </w:r>
      <w:r>
        <w:rPr>
          <w:rFonts w:ascii="Times New Roman" w:hAnsi="Times New Roman"/>
          <w:color w:val="000000"/>
          <w:sz w:val="24"/>
          <w:szCs w:val="24"/>
        </w:rPr>
        <w:t xml:space="preserve"> (n = 24</w:t>
      </w:r>
      <w:r w:rsidRPr="00F63607">
        <w:rPr>
          <w:rFonts w:ascii="Times New Roman" w:hAnsi="Times New Roman"/>
          <w:color w:val="000000"/>
          <w:sz w:val="24"/>
          <w:szCs w:val="24"/>
        </w:rPr>
        <w:t>): Ecuador, Bol</w:t>
      </w:r>
      <w:r>
        <w:rPr>
          <w:rFonts w:ascii="Times New Roman" w:hAnsi="Times New Roman"/>
          <w:color w:val="000000"/>
          <w:sz w:val="24"/>
          <w:szCs w:val="24"/>
        </w:rPr>
        <w:t xml:space="preserve">ívar, Quebrada de Pistud (MECN 527, 528; Cruz de Liso (MECN 578, 579, 580, 581, 583); El Oro, Zaruma, Chivaturco (MECN 4782, 4784, 4785, 4786, 4787, 4788, 4798, 4799, 4803, 4804), Chilla, Chilla Cocha (MECN 4813, 4817, 4823, 4824, 4825, 4833, 4834). </w:t>
      </w:r>
    </w:p>
    <w:p xmlns:wp14="http://schemas.microsoft.com/office/word/2010/wordml" w:rsidR="00012CDB" w:rsidP="00012CDB" w:rsidRDefault="00012CDB" w14:paraId="338200A2" wp14:textId="18F3903B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Nephelomys</w:t>
      </w:r>
      <w:proofErr w:type="spellEnd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auriventer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(n = 5): Ecuador, Morona Santiago, Morona,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Sardinayacu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3797),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Mendez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Kutukú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5812, 5813, 5816), Logroño,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Yapit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(MEPN 12214). </w:t>
      </w:r>
    </w:p>
    <w:p xmlns:wp14="http://schemas.microsoft.com/office/word/2010/wordml" w:rsidRPr="0021596D" w:rsidR="00012CDB" w:rsidP="00012CDB" w:rsidRDefault="00012CDB" w14:paraId="61DE84AC" wp14:textId="633046C5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33CC0816" w:rsidR="33CC0816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Nephelomys</w:t>
      </w:r>
      <w:proofErr w:type="spellEnd"/>
      <w:r w:rsidRPr="33CC0816" w:rsidR="33CC0816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3CC0816" w:rsidR="33CC0816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nimbosus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(n = 9): Ecuador, Morona 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>Santiago</w:t>
      </w:r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>Guabisai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4322-4326),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>Tinguichaca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3803); </w:t>
      </w:r>
      <w:proofErr w:type="spellStart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>Sambalán</w:t>
      </w:r>
      <w:proofErr w:type="spellEnd"/>
      <w:r w:rsidRPr="33CC0816" w:rsidR="33CC081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4325); Tungurahua, Baños, Cerro Candelaria (MECN 5010), Río Cristal (MECN 6090).</w:t>
      </w:r>
    </w:p>
    <w:p xmlns:wp14="http://schemas.microsoft.com/office/word/2010/wordml" w:rsidR="00012CDB" w:rsidP="2811C1A8" w:rsidRDefault="00012CDB" w14:paraId="60BA1FE4" wp14:textId="7DCA0E44">
      <w:pPr>
        <w:pStyle w:val="Normal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Nephelomys</w:t>
      </w:r>
      <w:proofErr w:type="spellEnd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2811C1A8" w:rsidR="2811C1A8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moerex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(n = 26): Ecuador, Cotopaxi,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Otonga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1084, 1086); Pichincha, Reserva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Pahuma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2480, 2485, 2513, 2515, 2516, 2517), Reserva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Verdecocha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2538, 2539, 2541, 2592), Reserva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Maquipucuna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2545, 2605), Reserva </w:t>
      </w:r>
      <w:proofErr w:type="spellStart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>Vellavista</w:t>
      </w:r>
      <w:proofErr w:type="spellEnd"/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(MECN 2816, 2817, 2818, 2819, 2820, 2824, 2826, 2827, 2829, 2830, 2832, 2835), Mindo (</w:t>
      </w:r>
      <w:r w:rsidRPr="2811C1A8" w:rsidR="2811C1A8">
        <w:rPr>
          <w:rFonts w:ascii="Times New Roman" w:hAnsi="Times New Roman"/>
          <w:color w:val="000000" w:themeColor="text1" w:themeTint="FF" w:themeShade="FF"/>
          <w:sz w:val="24"/>
          <w:szCs w:val="24"/>
          <w:lang w:val="es-ES"/>
        </w:rPr>
        <w:t>ZFMK 1959-0211-sk).</w:t>
      </w:r>
    </w:p>
    <w:p xmlns:wp14="http://schemas.microsoft.com/office/word/2010/wordml" w:rsidRPr="004B44BD" w:rsidR="00012CDB" w:rsidP="00012CDB" w:rsidRDefault="00012CDB" w14:paraId="0F8B9530" wp14:textId="77777777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012CDB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Pattonimus ecominga</w:t>
      </w:r>
      <w:r w:rsidRPr="27FBAC42">
        <w:rPr>
          <w:rFonts w:ascii="Times New Roman" w:hAnsi="Times New Roman"/>
          <w:color w:val="000000" w:themeColor="text1"/>
          <w:sz w:val="24"/>
          <w:szCs w:val="24"/>
        </w:rPr>
        <w:t xml:space="preserve"> (n = 22): Ecuador, Carchi, Reserva Drácula, Gualpilal (</w:t>
      </w:r>
      <w:r w:rsidRPr="27FBAC42">
        <w:rPr>
          <w:rFonts w:ascii="Times New Roman" w:hAnsi="Times New Roman"/>
          <w:sz w:val="24"/>
          <w:szCs w:val="24"/>
        </w:rPr>
        <w:t>MECN 5927, 5928*, 6034), Pailón Alto (MECN 6017) Km. 18, Gualpi (MECN 5293, 5297, 5298, 5304, 5308, 5309, 5310, 5325, 5326, 5382, 6019, 6020, 6025, 6040, 6041, 6042, 6043), Km. 14 (MECN 4991).</w:t>
      </w:r>
    </w:p>
    <w:p xmlns:wp14="http://schemas.microsoft.com/office/word/2010/wordml" w:rsidRPr="0010166D" w:rsidR="00012CDB" w:rsidP="00012CDB" w:rsidRDefault="2EF38CFD" w14:paraId="29B9F574" wp14:textId="77777777">
      <w:pPr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2EF38CF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Pattonimus musseri</w:t>
      </w:r>
      <w:r w:rsidRPr="2EF38CFD">
        <w:rPr>
          <w:rFonts w:ascii="Times New Roman" w:hAnsi="Times New Roman"/>
          <w:color w:val="000000" w:themeColor="text1"/>
          <w:sz w:val="24"/>
          <w:szCs w:val="24"/>
        </w:rPr>
        <w:t xml:space="preserve"> (n = 4): Ecuador, Imbabura, Reserva Río Manduriacu (</w:t>
      </w:r>
      <w:r w:rsidRPr="2EF38CFD">
        <w:rPr>
          <w:rFonts w:ascii="Times New Roman" w:hAnsi="Times New Roman"/>
          <w:sz w:val="24"/>
          <w:szCs w:val="24"/>
        </w:rPr>
        <w:t>MEPN 12586, 12587, 12593, 12605*).</w:t>
      </w:r>
    </w:p>
    <w:p xmlns:wp14="http://schemas.microsoft.com/office/word/2010/wordml" w:rsidRPr="0010166D" w:rsidR="00012CDB" w:rsidP="00012CDB" w:rsidRDefault="00012CDB" w14:paraId="630F6425" wp14:textId="77777777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CDB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Pattonimus</w:t>
      </w:r>
      <w:r w:rsidRPr="0D43463F">
        <w:rPr>
          <w:rFonts w:ascii="Times New Roman" w:hAnsi="Times New Roman"/>
          <w:color w:val="000000" w:themeColor="text1"/>
          <w:sz w:val="24"/>
          <w:szCs w:val="24"/>
        </w:rPr>
        <w:t xml:space="preserve"> sp. (n = 3):</w:t>
      </w:r>
      <w:r w:rsidRPr="0D43463F">
        <w:rPr>
          <w:rFonts w:ascii="Times New Roman" w:hAnsi="Times New Roman"/>
          <w:sz w:val="24"/>
          <w:szCs w:val="24"/>
        </w:rPr>
        <w:t xml:space="preserve"> Ecuador, Cotopaxi, Otonga (QCAZ 8720).  Colombia, Nariño, Reserv</w:t>
      </w:r>
      <w:r>
        <w:rPr>
          <w:rFonts w:ascii="Times New Roman" w:hAnsi="Times New Roman"/>
          <w:sz w:val="24"/>
          <w:szCs w:val="24"/>
        </w:rPr>
        <w:t xml:space="preserve">a del río Ñambi (ICN 13663, </w:t>
      </w:r>
      <w:r w:rsidRPr="0D43463F">
        <w:rPr>
          <w:rFonts w:ascii="Times New Roman" w:hAnsi="Times New Roman"/>
          <w:sz w:val="24"/>
          <w:szCs w:val="24"/>
        </w:rPr>
        <w:t>21487).</w:t>
      </w:r>
    </w:p>
    <w:p xmlns:wp14="http://schemas.microsoft.com/office/word/2010/wordml" w:rsidR="00012CDB" w:rsidP="00012CDB" w:rsidRDefault="00012CDB" w14:paraId="2B1D6DE1" wp14:textId="7777777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CDB">
        <w:rPr>
          <w:rFonts w:ascii="Times New Roman" w:hAnsi="Times New Roman"/>
          <w:b/>
          <w:i/>
          <w:iCs/>
          <w:sz w:val="24"/>
          <w:szCs w:val="24"/>
        </w:rPr>
        <w:t>Sigmodontomys alfari</w:t>
      </w:r>
      <w:r w:rsidRPr="0D43463F">
        <w:rPr>
          <w:rFonts w:ascii="Times New Roman" w:hAnsi="Times New Roman"/>
          <w:sz w:val="24"/>
          <w:szCs w:val="24"/>
        </w:rPr>
        <w:t xml:space="preserve"> (n = 2): Ecuador, Carchi, </w:t>
      </w:r>
      <w:r>
        <w:rPr>
          <w:rFonts w:ascii="Times New Roman" w:hAnsi="Times New Roman"/>
          <w:sz w:val="24"/>
          <w:szCs w:val="24"/>
        </w:rPr>
        <w:t>Reserva Drácula (MECN 6021,</w:t>
      </w:r>
      <w:r w:rsidRPr="0D43463F">
        <w:rPr>
          <w:rFonts w:ascii="Times New Roman" w:hAnsi="Times New Roman"/>
          <w:sz w:val="24"/>
          <w:szCs w:val="24"/>
        </w:rPr>
        <w:t xml:space="preserve"> 6022).</w:t>
      </w:r>
    </w:p>
    <w:p xmlns:wp14="http://schemas.microsoft.com/office/word/2010/wordml" w:rsidRPr="004C74C3" w:rsidR="00012CDB" w:rsidP="00012CDB" w:rsidRDefault="2EF38CFD" w14:paraId="4F7D37AF" wp14:textId="77777777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2EF38CF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Tanyuromys thomasleei</w:t>
      </w:r>
      <w:r w:rsidRPr="2EF38CFD">
        <w:rPr>
          <w:rFonts w:ascii="Times New Roman" w:hAnsi="Times New Roman"/>
          <w:color w:val="000000" w:themeColor="text1"/>
          <w:sz w:val="24"/>
          <w:szCs w:val="24"/>
        </w:rPr>
        <w:t xml:space="preserve"> (n = 4): Ecuador, Carchi, Reserva Drácula (MECN 4740, 5938); Imbabura, Reserva Río Manduriacu (MEPN 12606); Pichincha, La Titania (MECN 3407).</w:t>
      </w:r>
    </w:p>
    <w:p xmlns:wp14="http://schemas.microsoft.com/office/word/2010/wordml" w:rsidR="004815FB" w:rsidRDefault="004815FB" w14:paraId="5DAB6C7B" wp14:textId="77777777">
      <w:bookmarkStart w:name="_GoBack" w:id="34"/>
      <w:bookmarkEnd w:id="34"/>
    </w:p>
    <w:sectPr w:rsidR="004815FB" w:rsidSect="00012CDB">
      <w:footerReference w:type="default" r:id="rId7"/>
      <w:pgSz w:w="12242" w:h="15842" w:orient="portrait" w:code="122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F7A32" w:rsidP="000E2A5F" w:rsidRDefault="007F7A32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7A32" w:rsidP="000E2A5F" w:rsidRDefault="007F7A32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2107069950"/>
      <w:docPartObj>
        <w:docPartGallery w:val="Page Numbers (Bottom of Page)"/>
        <w:docPartUnique/>
      </w:docPartObj>
    </w:sdtPr>
    <w:sdtContent>
      <w:p xmlns:wp14="http://schemas.microsoft.com/office/word/2010/wordml" w:rsidR="00E4665C" w:rsidRDefault="00ED2865" w14:paraId="407CE2FB" wp14:textId="77777777">
        <w:pPr>
          <w:pStyle w:val="Piedepgina"/>
          <w:jc w:val="right"/>
        </w:pPr>
        <w:r>
          <w:fldChar w:fldCharType="begin"/>
        </w:r>
        <w:r w:rsidR="00012CDB">
          <w:instrText>PAGE   \* MERGEFORMAT</w:instrText>
        </w:r>
        <w:r>
          <w:fldChar w:fldCharType="separate"/>
        </w:r>
        <w:r w:rsidRPr="00A7324E" w:rsidR="00A7324E">
          <w:rPr>
            <w:noProof/>
            <w:lang w:val="es-ES"/>
          </w:rPr>
          <w:t>1</w:t>
        </w:r>
        <w:r>
          <w:fldChar w:fldCharType="end"/>
        </w:r>
      </w:p>
    </w:sdtContent>
  </w:sdt>
  <w:p xmlns:wp14="http://schemas.microsoft.com/office/word/2010/wordml" w:rsidR="00E4665C" w:rsidRDefault="007F7A32" w14:paraId="02EB378F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F7A32" w:rsidP="000E2A5F" w:rsidRDefault="007F7A32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7A32" w:rsidP="000E2A5F" w:rsidRDefault="007F7A32" w14:paraId="72A3D3E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DB"/>
    <w:rsid w:val="00012CDB"/>
    <w:rsid w:val="000E2A5F"/>
    <w:rsid w:val="003111E4"/>
    <w:rsid w:val="003B6414"/>
    <w:rsid w:val="004815FB"/>
    <w:rsid w:val="007F7A32"/>
    <w:rsid w:val="00880478"/>
    <w:rsid w:val="00A124EA"/>
    <w:rsid w:val="00A7324E"/>
    <w:rsid w:val="00EB242E"/>
    <w:rsid w:val="00ED2865"/>
    <w:rsid w:val="11C5BE43"/>
    <w:rsid w:val="25A85221"/>
    <w:rsid w:val="2811C1A8"/>
    <w:rsid w:val="2EF38CFD"/>
    <w:rsid w:val="33C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ADF0FC"/>
  <w15:docId w15:val="{e5fdf94c-fcce-48bc-b814-bb8ac0a115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A5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12CDB"/>
    <w:pPr>
      <w:tabs>
        <w:tab w:val="center" w:pos="4252"/>
        <w:tab w:val="right" w:pos="8504"/>
      </w:tabs>
      <w:spacing w:after="0" w:line="240" w:lineRule="auto"/>
    </w:pPr>
    <w:rPr>
      <w:rFonts w:ascii="Calibri" w:hAnsi="Calibri" w:eastAsia="Calibri" w:cs="Times New Roman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12CDB"/>
    <w:rPr>
      <w:rFonts w:ascii="Calibri" w:hAnsi="Calibri" w:eastAsia="Calibri" w:cs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012CDB"/>
  </w:style>
  <w:style w:type="paragraph" w:styleId="Textodeglobo">
    <w:name w:val="Balloon Text"/>
    <w:basedOn w:val="Normal"/>
    <w:link w:val="TextodegloboCar"/>
    <w:uiPriority w:val="99"/>
    <w:semiHidden/>
    <w:unhideWhenUsed/>
    <w:rsid w:val="0088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8047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7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24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732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24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73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Relationship Type="http://schemas.microsoft.com/office/2011/relationships/commentsExtended" Target="/word/commentsExtended.xml" Id="Rc505129976834a17" /><Relationship Type="http://schemas.microsoft.com/office/2016/09/relationships/commentsIds" Target="/word/commentsIds.xml" Id="Rac49f0c2fee64a8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8328CB"/>
    <w:rsid w:val="0083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Jorge Brito Molina</lastModifiedBy>
  <revision>9</revision>
  <dcterms:created xsi:type="dcterms:W3CDTF">2020-06-20T07:20:00.0000000Z</dcterms:created>
  <dcterms:modified xsi:type="dcterms:W3CDTF">2020-06-29T20:42:30.9421995Z</dcterms:modified>
</coreProperties>
</file>