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jc w:val="left"/>
        <w:textAlignment w:val="auto"/>
        <w:rPr>
          <w:rFonts w:hint="default" w:ascii="Times New Roman" w:hAnsi="Times New Roman" w:eastAsia="Times New Roman" w:cs="Times New Roman"/>
          <w:b w:val="0"/>
          <w:bCs w:val="0"/>
          <w:sz w:val="24"/>
          <w:szCs w:val="24"/>
          <w:lang w:val="en-US"/>
        </w:rPr>
      </w:pPr>
      <w:bookmarkStart w:id="0" w:name="_GoBack"/>
      <w:r>
        <w:rPr>
          <w:rFonts w:hint="default" w:ascii="Times New Roman" w:hAnsi="Times New Roman" w:eastAsia="Times New Roman" w:cs="Times New Roman"/>
          <w:b w:val="0"/>
          <w:bCs w:val="0"/>
          <w:sz w:val="24"/>
          <w:szCs w:val="24"/>
        </w:rPr>
        <w:t>T</w:t>
      </w:r>
      <w:r>
        <w:rPr>
          <w:rFonts w:hint="default" w:ascii="Times New Roman" w:hAnsi="Times New Roman" w:eastAsia="Times New Roman" w:cs="Times New Roman"/>
          <w:b w:val="0"/>
          <w:bCs w:val="0"/>
          <w:sz w:val="24"/>
          <w:szCs w:val="24"/>
          <w:lang w:val="en-US"/>
        </w:rPr>
        <w:t>able</w:t>
      </w:r>
      <w:r>
        <w:rPr>
          <w:rFonts w:hint="default" w:ascii="Times New Roman" w:hAnsi="Times New Roman" w:eastAsia="Times New Roman" w:cs="Times New Roman"/>
          <w:b w:val="0"/>
          <w:bCs w:val="0"/>
          <w:sz w:val="24"/>
          <w:szCs w:val="24"/>
        </w:rPr>
        <w:t xml:space="preserve"> </w:t>
      </w:r>
      <w:r>
        <w:rPr>
          <w:rFonts w:hint="default" w:ascii="Times New Roman" w:hAnsi="Times New Roman" w:eastAsia="Times New Roman" w:cs="Times New Roman"/>
          <w:b w:val="0"/>
          <w:bCs w:val="0"/>
          <w:sz w:val="24"/>
          <w:szCs w:val="24"/>
          <w:lang w:val="en-US"/>
        </w:rPr>
        <w:t>S1  Temporal trends in premature mortality from NCDs during 1990-2016, Hunan Province, China</w:t>
      </w:r>
    </w:p>
    <w:bookmarkEnd w:id="0"/>
    <w:tbl>
      <w:tblPr>
        <w:tblStyle w:val="4"/>
        <w:tblW w:w="4804" w:type="pct"/>
        <w:tblInd w:w="0" w:type="dxa"/>
        <w:tblLayout w:type="fixed"/>
        <w:tblCellMar>
          <w:top w:w="0" w:type="dxa"/>
          <w:left w:w="108" w:type="dxa"/>
          <w:bottom w:w="0" w:type="dxa"/>
          <w:right w:w="108" w:type="dxa"/>
        </w:tblCellMar>
      </w:tblPr>
      <w:tblGrid>
        <w:gridCol w:w="3185"/>
        <w:gridCol w:w="1033"/>
        <w:gridCol w:w="1562"/>
        <w:gridCol w:w="915"/>
        <w:gridCol w:w="854"/>
        <w:gridCol w:w="309"/>
        <w:gridCol w:w="921"/>
        <w:gridCol w:w="846"/>
        <w:gridCol w:w="240"/>
        <w:gridCol w:w="834"/>
        <w:gridCol w:w="825"/>
        <w:gridCol w:w="263"/>
        <w:gridCol w:w="762"/>
        <w:gridCol w:w="700"/>
      </w:tblGrid>
      <w:tr>
        <w:tblPrEx>
          <w:tblCellMar>
            <w:top w:w="0" w:type="dxa"/>
            <w:left w:w="108" w:type="dxa"/>
            <w:bottom w:w="0" w:type="dxa"/>
            <w:right w:w="108" w:type="dxa"/>
          </w:tblCellMar>
        </w:tblPrEx>
        <w:trPr>
          <w:trHeight w:val="270" w:hRule="atLeast"/>
        </w:trPr>
        <w:tc>
          <w:tcPr>
            <w:tcW w:w="1201" w:type="pct"/>
            <w:vMerge w:val="restart"/>
            <w:tcBorders>
              <w:top w:val="single" w:color="auto" w:sz="4" w:space="0"/>
              <w:left w:val="nil"/>
              <w:bottom w:val="single" w:color="000000"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Diseases</w:t>
            </w:r>
          </w:p>
        </w:tc>
        <w:tc>
          <w:tcPr>
            <w:tcW w:w="389" w:type="pct"/>
            <w:vMerge w:val="restart"/>
            <w:tcBorders>
              <w:top w:val="single" w:color="auto" w:sz="4" w:space="0"/>
              <w:left w:val="nil"/>
              <w:bottom w:val="single" w:color="000000" w:sz="4" w:space="0"/>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AAPC</w:t>
            </w:r>
          </w:p>
        </w:tc>
        <w:tc>
          <w:tcPr>
            <w:tcW w:w="589" w:type="pct"/>
            <w:vMerge w:val="restart"/>
            <w:tcBorders>
              <w:top w:val="single" w:color="auto" w:sz="4" w:space="0"/>
              <w:left w:val="nil"/>
              <w:bottom w:val="single" w:color="000000"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Overall change (%)</w:t>
            </w:r>
            <w:r>
              <w:rPr>
                <w:rFonts w:hint="default" w:ascii="Times New Roman" w:hAnsi="Times New Roman" w:eastAsia="Times New Roman" w:cs="Times New Roman"/>
                <w:color w:val="000000"/>
                <w:sz w:val="20"/>
                <w:szCs w:val="20"/>
                <w:vertAlign w:val="superscript"/>
                <w:lang w:val="en-US"/>
              </w:rPr>
              <w:t>a</w:t>
            </w:r>
            <w:r>
              <w:rPr>
                <w:rFonts w:hint="default" w:ascii="Times New Roman" w:hAnsi="Times New Roman" w:eastAsia="Times New Roman" w:cs="Times New Roman"/>
                <w:color w:val="000000"/>
                <w:sz w:val="20"/>
                <w:szCs w:val="20"/>
              </w:rPr>
              <w:t xml:space="preserve"> </w:t>
            </w:r>
          </w:p>
        </w:tc>
        <w:tc>
          <w:tcPr>
            <w:tcW w:w="667" w:type="pct"/>
            <w:gridSpan w:val="2"/>
            <w:tcBorders>
              <w:top w:val="single" w:color="auto" w:sz="4" w:space="0"/>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Trend1</w:t>
            </w:r>
          </w:p>
        </w:tc>
        <w:tc>
          <w:tcPr>
            <w:tcW w:w="116" w:type="pct"/>
            <w:tcBorders>
              <w:top w:val="single" w:color="auto" w:sz="4" w:space="0"/>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w:t>
            </w:r>
          </w:p>
        </w:tc>
        <w:tc>
          <w:tcPr>
            <w:tcW w:w="666" w:type="pct"/>
            <w:gridSpan w:val="2"/>
            <w:tcBorders>
              <w:top w:val="single" w:color="auto" w:sz="4" w:space="0"/>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Trend2</w:t>
            </w:r>
          </w:p>
        </w:tc>
        <w:tc>
          <w:tcPr>
            <w:tcW w:w="90" w:type="pct"/>
            <w:tcBorders>
              <w:top w:val="single" w:color="auto" w:sz="4" w:space="0"/>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w:t>
            </w:r>
          </w:p>
        </w:tc>
        <w:tc>
          <w:tcPr>
            <w:tcW w:w="626" w:type="pct"/>
            <w:gridSpan w:val="2"/>
            <w:tcBorders>
              <w:top w:val="single" w:color="auto" w:sz="4" w:space="0"/>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Trend3</w:t>
            </w:r>
          </w:p>
        </w:tc>
        <w:tc>
          <w:tcPr>
            <w:tcW w:w="99" w:type="pct"/>
            <w:tcBorders>
              <w:top w:val="single" w:color="auto" w:sz="4" w:space="0"/>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w:t>
            </w:r>
          </w:p>
        </w:tc>
        <w:tc>
          <w:tcPr>
            <w:tcW w:w="551" w:type="pct"/>
            <w:gridSpan w:val="2"/>
            <w:tcBorders>
              <w:top w:val="single" w:color="auto" w:sz="4" w:space="0"/>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Trend4</w:t>
            </w:r>
          </w:p>
        </w:tc>
      </w:tr>
      <w:tr>
        <w:tblPrEx>
          <w:tblCellMar>
            <w:top w:w="0" w:type="dxa"/>
            <w:left w:w="108" w:type="dxa"/>
            <w:bottom w:w="0" w:type="dxa"/>
            <w:right w:w="108" w:type="dxa"/>
          </w:tblCellMar>
        </w:tblPrEx>
        <w:trPr>
          <w:trHeight w:val="270" w:hRule="atLeast"/>
        </w:trPr>
        <w:tc>
          <w:tcPr>
            <w:tcW w:w="1201" w:type="pct"/>
            <w:vMerge w:val="continue"/>
            <w:tcBorders>
              <w:top w:val="single" w:color="auto" w:sz="4" w:space="0"/>
              <w:left w:val="nil"/>
              <w:bottom w:val="single" w:color="000000" w:sz="4" w:space="0"/>
              <w:right w:val="nil"/>
            </w:tcBorders>
            <w:vAlign w:val="center"/>
          </w:tcPr>
          <w:p>
            <w:pPr>
              <w:spacing w:after="0" w:line="240" w:lineRule="auto"/>
              <w:rPr>
                <w:rFonts w:hint="default" w:ascii="Times New Roman" w:hAnsi="Times New Roman" w:eastAsia="Times New Roman" w:cs="Times New Roman"/>
                <w:color w:val="000000"/>
                <w:sz w:val="20"/>
                <w:szCs w:val="20"/>
              </w:rPr>
            </w:pPr>
          </w:p>
        </w:tc>
        <w:tc>
          <w:tcPr>
            <w:tcW w:w="389" w:type="pct"/>
            <w:vMerge w:val="continue"/>
            <w:tcBorders>
              <w:top w:val="single" w:color="auto" w:sz="4" w:space="0"/>
              <w:left w:val="nil"/>
              <w:bottom w:val="single" w:color="000000" w:sz="4" w:space="0"/>
              <w:right w:val="nil"/>
            </w:tcBorders>
            <w:vAlign w:val="center"/>
          </w:tcPr>
          <w:p>
            <w:pPr>
              <w:spacing w:after="0" w:line="240" w:lineRule="auto"/>
              <w:rPr>
                <w:rFonts w:hint="default" w:ascii="Times New Roman" w:hAnsi="Times New Roman" w:eastAsia="Times New Roman" w:cs="Times New Roman"/>
                <w:color w:val="000000"/>
                <w:sz w:val="20"/>
                <w:szCs w:val="20"/>
              </w:rPr>
            </w:pPr>
          </w:p>
        </w:tc>
        <w:tc>
          <w:tcPr>
            <w:tcW w:w="589" w:type="pct"/>
            <w:vMerge w:val="continue"/>
            <w:tcBorders>
              <w:top w:val="single" w:color="auto" w:sz="4" w:space="0"/>
              <w:left w:val="nil"/>
              <w:bottom w:val="single" w:color="000000" w:sz="4" w:space="0"/>
              <w:right w:val="nil"/>
            </w:tcBorders>
            <w:vAlign w:val="center"/>
          </w:tcPr>
          <w:p>
            <w:pPr>
              <w:spacing w:after="0" w:line="240" w:lineRule="auto"/>
              <w:rPr>
                <w:rFonts w:hint="default" w:ascii="Times New Roman" w:hAnsi="Times New Roman" w:eastAsia="Times New Roman" w:cs="Times New Roman"/>
                <w:color w:val="000000"/>
                <w:sz w:val="20"/>
                <w:szCs w:val="20"/>
              </w:rPr>
            </w:pPr>
          </w:p>
        </w:tc>
        <w:tc>
          <w:tcPr>
            <w:tcW w:w="345"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Years</w:t>
            </w:r>
          </w:p>
        </w:tc>
        <w:tc>
          <w:tcPr>
            <w:tcW w:w="322"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APC</w:t>
            </w:r>
          </w:p>
        </w:tc>
        <w:tc>
          <w:tcPr>
            <w:tcW w:w="116"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w:t>
            </w:r>
          </w:p>
        </w:tc>
        <w:tc>
          <w:tcPr>
            <w:tcW w:w="347"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Years</w:t>
            </w:r>
          </w:p>
        </w:tc>
        <w:tc>
          <w:tcPr>
            <w:tcW w:w="319"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APC</w:t>
            </w:r>
          </w:p>
        </w:tc>
        <w:tc>
          <w:tcPr>
            <w:tcW w:w="90"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w:t>
            </w:r>
          </w:p>
        </w:tc>
        <w:tc>
          <w:tcPr>
            <w:tcW w:w="314"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Years</w:t>
            </w:r>
          </w:p>
        </w:tc>
        <w:tc>
          <w:tcPr>
            <w:tcW w:w="311"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APC</w:t>
            </w:r>
          </w:p>
        </w:tc>
        <w:tc>
          <w:tcPr>
            <w:tcW w:w="99"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w:t>
            </w:r>
          </w:p>
        </w:tc>
        <w:tc>
          <w:tcPr>
            <w:tcW w:w="287"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Years</w:t>
            </w:r>
          </w:p>
        </w:tc>
        <w:tc>
          <w:tcPr>
            <w:tcW w:w="264"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APC</w:t>
            </w:r>
          </w:p>
        </w:tc>
      </w:tr>
      <w:tr>
        <w:tblPrEx>
          <w:tblCellMar>
            <w:top w:w="0" w:type="dxa"/>
            <w:left w:w="108" w:type="dxa"/>
            <w:bottom w:w="0" w:type="dxa"/>
            <w:right w:w="108" w:type="dxa"/>
          </w:tblCellMar>
        </w:tblPrEx>
        <w:trPr>
          <w:trHeight w:val="270" w:hRule="atLeast"/>
        </w:trPr>
        <w:tc>
          <w:tcPr>
            <w:tcW w:w="5000" w:type="pct"/>
            <w:gridSpan w:val="14"/>
            <w:tcBorders>
              <w:top w:val="single" w:color="auto" w:sz="4" w:space="0"/>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b/>
                <w:bCs/>
                <w:color w:val="000000"/>
                <w:sz w:val="20"/>
                <w:szCs w:val="20"/>
              </w:rPr>
            </w:pPr>
            <w:r>
              <w:rPr>
                <w:rFonts w:hint="default" w:ascii="Times New Roman" w:hAnsi="Times New Roman" w:eastAsia="Times New Roman" w:cs="Times New Roman"/>
                <w:b/>
                <w:bCs/>
                <w:color w:val="000000"/>
                <w:sz w:val="20"/>
                <w:szCs w:val="20"/>
              </w:rPr>
              <w:t>Both</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Total</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8*</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-37</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5</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90~02</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02~09</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09~16</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Cancer</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9*</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90~02</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3*</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02~09</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09~16</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7*</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CVD</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90~03</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03~08</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08~16</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5*</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Diabetes </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cs="Times New Roman"/>
                <w:color w:val="000000"/>
                <w:sz w:val="20"/>
                <w:szCs w:val="20"/>
              </w:rPr>
            </w:pPr>
            <w:r>
              <w:rPr>
                <w:rFonts w:hint="default" w:ascii="Times New Roman" w:hAnsi="Times New Roman" w:eastAsia="Times New Roman" w:cs="Times New Roman"/>
                <w:color w:val="000000"/>
                <w:sz w:val="20"/>
                <w:szCs w:val="20"/>
              </w:rPr>
              <w:t>-5</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8</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90~01</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5*</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01~11</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11~14</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8</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14~16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7</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Chronic respiratory disease</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-5</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-76</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90~95</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95~01</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7*</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01~09</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09~16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9*</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Other</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7*</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-36</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90~02</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3*</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02~09</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09~14</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14~16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9*</w:t>
            </w:r>
          </w:p>
        </w:tc>
      </w:tr>
      <w:tr>
        <w:tblPrEx>
          <w:tblCellMar>
            <w:top w:w="0" w:type="dxa"/>
            <w:left w:w="108" w:type="dxa"/>
            <w:bottom w:w="0" w:type="dxa"/>
            <w:right w:w="108" w:type="dxa"/>
          </w:tblCellMar>
        </w:tblPrEx>
        <w:trPr>
          <w:trHeight w:val="285" w:hRule="atLeast"/>
        </w:trPr>
        <w:tc>
          <w:tcPr>
            <w:tcW w:w="5000" w:type="pct"/>
            <w:gridSpan w:val="14"/>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b/>
                <w:bCs/>
                <w:color w:val="000000"/>
                <w:sz w:val="20"/>
                <w:szCs w:val="20"/>
              </w:rPr>
            </w:pPr>
            <w:r>
              <w:rPr>
                <w:rFonts w:hint="default" w:ascii="Times New Roman" w:hAnsi="Times New Roman" w:eastAsia="Times New Roman" w:cs="Times New Roman"/>
                <w:b/>
                <w:bCs/>
                <w:color w:val="000000"/>
                <w:sz w:val="20"/>
                <w:szCs w:val="20"/>
              </w:rPr>
              <w:t>Male</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Total</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3*</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-28</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7</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90~02</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02~08</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08~16</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Cancer</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-13</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90~02</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3*</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02~08</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5*</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08~14</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14~16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4</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CVD</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3*</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-29</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90~02</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9*</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02~08</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3*</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08~16</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5*</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Diabetes </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 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5*</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15</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90~01</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01~08</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08~14</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8*</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14~16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1</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Chronic respiratory disease</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-70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8</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90~95</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95~01</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01~09</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-8</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7*</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09~16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0*</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Other</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5*</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90~01</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01~09</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09~14</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14~16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9</w:t>
            </w:r>
          </w:p>
        </w:tc>
      </w:tr>
      <w:tr>
        <w:tblPrEx>
          <w:tblCellMar>
            <w:top w:w="0" w:type="dxa"/>
            <w:left w:w="108" w:type="dxa"/>
            <w:bottom w:w="0" w:type="dxa"/>
            <w:right w:w="108" w:type="dxa"/>
          </w:tblCellMar>
        </w:tblPrEx>
        <w:trPr>
          <w:trHeight w:val="285" w:hRule="atLeast"/>
        </w:trPr>
        <w:tc>
          <w:tcPr>
            <w:tcW w:w="5000" w:type="pct"/>
            <w:gridSpan w:val="14"/>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b/>
                <w:bCs/>
                <w:color w:val="000000"/>
                <w:sz w:val="20"/>
                <w:szCs w:val="20"/>
              </w:rPr>
            </w:pPr>
            <w:r>
              <w:rPr>
                <w:rFonts w:hint="default" w:ascii="Times New Roman" w:hAnsi="Times New Roman" w:eastAsia="Times New Roman" w:cs="Times New Roman"/>
                <w:b/>
                <w:bCs/>
                <w:color w:val="000000"/>
                <w:sz w:val="20"/>
                <w:szCs w:val="20"/>
              </w:rPr>
              <w:t>Female</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Total</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7*</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-50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90~02</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02~05</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05~10</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w:t>
            </w:r>
            <w:r>
              <w:rPr>
                <w:rFonts w:hint="default" w:ascii="Times New Roman" w:hAnsi="Times New Roman" w:eastAsia="Times New Roman" w:cs="Times New Roman"/>
                <w:color w:val="000000"/>
                <w:sz w:val="20"/>
                <w:szCs w:val="20"/>
                <w:lang w:val="en-US"/>
              </w:rPr>
              <w:t>.</w:t>
            </w:r>
            <w:r>
              <w:rPr>
                <w:rFonts w:hint="default" w:ascii="Times New Roman" w:hAnsi="Times New Roman" w:eastAsia="Times New Roman" w:cs="Times New Roman"/>
                <w:color w:val="000000"/>
                <w:sz w:val="20"/>
                <w:szCs w:val="20"/>
              </w:rPr>
              <w:t>8*</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10~16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3*</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Cancer</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-33</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90~95</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9*</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95~02</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02~11</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eastAsia="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11~16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6*</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CVD</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-57</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5</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90~96</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96~02</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7*</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02~10</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-5</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10~16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-3</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1*</w:t>
            </w:r>
          </w:p>
        </w:tc>
      </w:tr>
      <w:tr>
        <w:tblPrEx>
          <w:tblCellMar>
            <w:top w:w="0" w:type="dxa"/>
            <w:left w:w="108" w:type="dxa"/>
            <w:bottom w:w="0" w:type="dxa"/>
            <w:right w:w="108" w:type="dxa"/>
          </w:tblCellMar>
        </w:tblPrEx>
        <w:trPr>
          <w:trHeight w:val="285" w:hRule="atLeast"/>
        </w:trPr>
        <w:tc>
          <w:tcPr>
            <w:tcW w:w="1201"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 xml:space="preserve">Diabetes </w:t>
            </w:r>
          </w:p>
        </w:tc>
        <w:tc>
          <w:tcPr>
            <w:tcW w:w="38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9*</w:t>
            </w:r>
          </w:p>
        </w:tc>
        <w:tc>
          <w:tcPr>
            <w:tcW w:w="589"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345"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90~01</w:t>
            </w:r>
          </w:p>
        </w:tc>
        <w:tc>
          <w:tcPr>
            <w:tcW w:w="322"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116"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01~05</w:t>
            </w:r>
          </w:p>
        </w:tc>
        <w:tc>
          <w:tcPr>
            <w:tcW w:w="319"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90"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05~09</w:t>
            </w:r>
          </w:p>
        </w:tc>
        <w:tc>
          <w:tcPr>
            <w:tcW w:w="311" w:type="pct"/>
            <w:tcBorders>
              <w:top w:val="nil"/>
              <w:left w:val="nil"/>
              <w:bottom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-5</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9*</w:t>
            </w:r>
          </w:p>
        </w:tc>
        <w:tc>
          <w:tcPr>
            <w:tcW w:w="99" w:type="pct"/>
            <w:tcBorders>
              <w:top w:val="nil"/>
              <w:left w:val="nil"/>
              <w:bottom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09~16</w:t>
            </w:r>
          </w:p>
        </w:tc>
        <w:tc>
          <w:tcPr>
            <w:tcW w:w="264" w:type="pct"/>
            <w:tcBorders>
              <w:top w:val="nil"/>
              <w:left w:val="nil"/>
              <w:bottom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2*</w:t>
            </w:r>
          </w:p>
        </w:tc>
      </w:tr>
      <w:tr>
        <w:tblPrEx>
          <w:tblCellMar>
            <w:top w:w="0" w:type="dxa"/>
            <w:left w:w="108" w:type="dxa"/>
            <w:bottom w:w="0" w:type="dxa"/>
            <w:right w:w="108" w:type="dxa"/>
          </w:tblCellMar>
        </w:tblPrEx>
        <w:trPr>
          <w:trHeight w:val="285" w:hRule="atLeast"/>
        </w:trPr>
        <w:tc>
          <w:tcPr>
            <w:tcW w:w="1201" w:type="pct"/>
            <w:tcBorders>
              <w:top w:val="nil"/>
              <w:left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Chronic respiratory disease</w:t>
            </w:r>
          </w:p>
        </w:tc>
        <w:tc>
          <w:tcPr>
            <w:tcW w:w="389" w:type="pct"/>
            <w:tcBorders>
              <w:top w:val="nil"/>
              <w:left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-6</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9*</w:t>
            </w:r>
          </w:p>
        </w:tc>
        <w:tc>
          <w:tcPr>
            <w:tcW w:w="589" w:type="pct"/>
            <w:tcBorders>
              <w:top w:val="nil"/>
              <w:left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-84</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2</w:t>
            </w:r>
          </w:p>
        </w:tc>
        <w:tc>
          <w:tcPr>
            <w:tcW w:w="345" w:type="pct"/>
            <w:tcBorders>
              <w:top w:val="nil"/>
              <w:left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90~96</w:t>
            </w:r>
          </w:p>
        </w:tc>
        <w:tc>
          <w:tcPr>
            <w:tcW w:w="322" w:type="pct"/>
            <w:tcBorders>
              <w:top w:val="nil"/>
              <w:left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9*</w:t>
            </w:r>
          </w:p>
        </w:tc>
        <w:tc>
          <w:tcPr>
            <w:tcW w:w="116" w:type="pct"/>
            <w:tcBorders>
              <w:top w:val="nil"/>
              <w:left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96~02</w:t>
            </w:r>
          </w:p>
        </w:tc>
        <w:tc>
          <w:tcPr>
            <w:tcW w:w="319" w:type="pct"/>
            <w:tcBorders>
              <w:top w:val="nil"/>
              <w:left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-6</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90" w:type="pct"/>
            <w:tcBorders>
              <w:top w:val="nil"/>
              <w:left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02~11</w:t>
            </w:r>
          </w:p>
        </w:tc>
        <w:tc>
          <w:tcPr>
            <w:tcW w:w="311" w:type="pct"/>
            <w:tcBorders>
              <w:top w:val="nil"/>
              <w:left w:val="nil"/>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7*</w:t>
            </w:r>
          </w:p>
        </w:tc>
        <w:tc>
          <w:tcPr>
            <w:tcW w:w="99" w:type="pct"/>
            <w:tcBorders>
              <w:top w:val="nil"/>
              <w:left w:val="nil"/>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11~16</w:t>
            </w:r>
          </w:p>
        </w:tc>
        <w:tc>
          <w:tcPr>
            <w:tcW w:w="264" w:type="pct"/>
            <w:tcBorders>
              <w:top w:val="nil"/>
              <w:left w:val="nil"/>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-5</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5*</w:t>
            </w:r>
          </w:p>
        </w:tc>
      </w:tr>
      <w:tr>
        <w:tblPrEx>
          <w:tblCellMar>
            <w:top w:w="0" w:type="dxa"/>
            <w:left w:w="108" w:type="dxa"/>
            <w:bottom w:w="0" w:type="dxa"/>
            <w:right w:w="108" w:type="dxa"/>
          </w:tblCellMar>
        </w:tblPrEx>
        <w:trPr>
          <w:trHeight w:val="285" w:hRule="atLeast"/>
        </w:trPr>
        <w:tc>
          <w:tcPr>
            <w:tcW w:w="1201" w:type="pct"/>
            <w:tcBorders>
              <w:top w:val="nil"/>
              <w:left w:val="nil"/>
              <w:bottom w:val="single" w:color="auto" w:sz="4" w:space="0"/>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Other</w:t>
            </w:r>
          </w:p>
        </w:tc>
        <w:tc>
          <w:tcPr>
            <w:tcW w:w="389" w:type="pct"/>
            <w:tcBorders>
              <w:top w:val="nil"/>
              <w:left w:val="nil"/>
              <w:bottom w:val="single" w:color="auto" w:sz="4" w:space="0"/>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-2</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1*</w:t>
            </w:r>
          </w:p>
        </w:tc>
        <w:tc>
          <w:tcPr>
            <w:tcW w:w="589" w:type="pct"/>
            <w:tcBorders>
              <w:top w:val="nil"/>
              <w:left w:val="nil"/>
              <w:bottom w:val="single" w:color="auto" w:sz="4" w:space="0"/>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6</w:t>
            </w:r>
          </w:p>
        </w:tc>
        <w:tc>
          <w:tcPr>
            <w:tcW w:w="345" w:type="pct"/>
            <w:tcBorders>
              <w:top w:val="nil"/>
              <w:left w:val="nil"/>
              <w:bottom w:val="single" w:color="auto" w:sz="4" w:space="0"/>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90~98</w:t>
            </w:r>
          </w:p>
        </w:tc>
        <w:tc>
          <w:tcPr>
            <w:tcW w:w="322" w:type="pct"/>
            <w:tcBorders>
              <w:top w:val="nil"/>
              <w:left w:val="nil"/>
              <w:bottom w:val="single" w:color="auto" w:sz="4" w:space="0"/>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116" w:type="pct"/>
            <w:tcBorders>
              <w:top w:val="nil"/>
              <w:left w:val="nil"/>
              <w:bottom w:val="single" w:color="auto" w:sz="4" w:space="0"/>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47" w:type="pct"/>
            <w:tcBorders>
              <w:top w:val="nil"/>
              <w:left w:val="nil"/>
              <w:bottom w:val="single" w:color="auto" w:sz="4" w:space="0"/>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98~02</w:t>
            </w:r>
          </w:p>
        </w:tc>
        <w:tc>
          <w:tcPr>
            <w:tcW w:w="319" w:type="pct"/>
            <w:tcBorders>
              <w:top w:val="nil"/>
              <w:left w:val="nil"/>
              <w:bottom w:val="single" w:color="auto" w:sz="4" w:space="0"/>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4</w:t>
            </w:r>
          </w:p>
        </w:tc>
        <w:tc>
          <w:tcPr>
            <w:tcW w:w="90" w:type="pct"/>
            <w:tcBorders>
              <w:top w:val="nil"/>
              <w:left w:val="nil"/>
              <w:bottom w:val="single" w:color="auto" w:sz="4" w:space="0"/>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314" w:type="pct"/>
            <w:tcBorders>
              <w:top w:val="nil"/>
              <w:left w:val="nil"/>
              <w:bottom w:val="single" w:color="auto" w:sz="4" w:space="0"/>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02~10</w:t>
            </w:r>
          </w:p>
        </w:tc>
        <w:tc>
          <w:tcPr>
            <w:tcW w:w="311" w:type="pct"/>
            <w:tcBorders>
              <w:top w:val="nil"/>
              <w:left w:val="nil"/>
              <w:bottom w:val="single" w:color="auto" w:sz="4" w:space="0"/>
              <w:right w:val="nil"/>
            </w:tcBorders>
            <w:shd w:val="clear" w:color="auto" w:fill="auto"/>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-4</w:t>
            </w:r>
            <w:r>
              <w:rPr>
                <w:rFonts w:hint="default" w:ascii="Times New Roman" w:hAnsi="Times New Roman" w:cs="Times New Roman"/>
                <w:color w:val="000000"/>
                <w:sz w:val="20"/>
                <w:szCs w:val="20"/>
                <w:lang w:val="en-US"/>
              </w:rPr>
              <w:t>.</w:t>
            </w:r>
            <w:r>
              <w:rPr>
                <w:rFonts w:hint="default" w:ascii="Times New Roman" w:hAnsi="Times New Roman" w:eastAsia="Times New Roman" w:cs="Times New Roman"/>
                <w:color w:val="000000"/>
                <w:sz w:val="20"/>
                <w:szCs w:val="20"/>
              </w:rPr>
              <w:t>0*</w:t>
            </w:r>
          </w:p>
        </w:tc>
        <w:tc>
          <w:tcPr>
            <w:tcW w:w="99" w:type="pct"/>
            <w:tcBorders>
              <w:top w:val="nil"/>
              <w:left w:val="nil"/>
              <w:bottom w:val="single" w:color="auto" w:sz="4" w:space="0"/>
              <w:right w:val="nil"/>
            </w:tcBorders>
            <w:shd w:val="clear" w:color="auto" w:fill="auto"/>
            <w:noWrap/>
            <w:vAlign w:val="center"/>
          </w:tcPr>
          <w:p>
            <w:pPr>
              <w:spacing w:after="0" w:line="240" w:lineRule="auto"/>
              <w:rPr>
                <w:rFonts w:hint="default" w:ascii="Times New Roman" w:hAnsi="Times New Roman" w:eastAsia="Times New Roman" w:cs="Times New Roman"/>
                <w:color w:val="000000"/>
                <w:sz w:val="20"/>
                <w:szCs w:val="20"/>
              </w:rPr>
            </w:pPr>
          </w:p>
        </w:tc>
        <w:tc>
          <w:tcPr>
            <w:tcW w:w="287" w:type="pct"/>
            <w:tcBorders>
              <w:top w:val="nil"/>
              <w:left w:val="nil"/>
              <w:bottom w:val="single" w:color="auto" w:sz="4" w:space="0"/>
              <w:right w:val="nil"/>
            </w:tcBorders>
            <w:shd w:val="clear" w:color="auto" w:fill="auto"/>
            <w:noWrap/>
            <w:vAlign w:val="center"/>
          </w:tcPr>
          <w:p>
            <w:pPr>
              <w:spacing w:after="0" w:line="240" w:lineRule="auto"/>
              <w:jc w:val="right"/>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10~16</w:t>
            </w:r>
          </w:p>
        </w:tc>
        <w:tc>
          <w:tcPr>
            <w:tcW w:w="264" w:type="pct"/>
            <w:tcBorders>
              <w:top w:val="nil"/>
              <w:left w:val="nil"/>
              <w:bottom w:val="single" w:color="auto" w:sz="4" w:space="0"/>
              <w:right w:val="nil"/>
            </w:tcBorders>
            <w:shd w:val="clear" w:color="auto" w:fill="auto"/>
            <w:vAlign w:val="center"/>
          </w:tcPr>
          <w:p>
            <w:pPr>
              <w:spacing w:after="0" w:line="240" w:lineRule="auto"/>
              <w:rPr>
                <w:rFonts w:hint="default" w:ascii="Times New Roman" w:hAnsi="Times New Roman" w:eastAsia="Times New Roman" w:cs="Times New Roman"/>
                <w:color w:val="000000"/>
                <w:sz w:val="20"/>
                <w:szCs w:val="20"/>
              </w:rPr>
            </w:pPr>
            <w:r>
              <w:rPr>
                <w:rFonts w:hint="default" w:ascii="Times New Roman" w:hAnsi="Times New Roman" w:eastAsia="Times New Roman" w:cs="Times New Roman"/>
                <w:color w:val="000000"/>
                <w:sz w:val="20"/>
                <w:szCs w:val="20"/>
              </w:rPr>
              <w:t>-1</w:t>
            </w:r>
            <w:r>
              <w:rPr>
                <w:rFonts w:hint="default" w:ascii="Times New Roman" w:hAnsi="Times New Roman" w:cs="Times New Roman"/>
                <w:sz w:val="20"/>
                <w:szCs w:val="20"/>
                <w:lang w:val="en-US"/>
              </w:rPr>
              <w:t>.</w:t>
            </w:r>
            <w:r>
              <w:rPr>
                <w:rFonts w:hint="default" w:ascii="Times New Roman" w:hAnsi="Times New Roman" w:eastAsia="Times New Roman" w:cs="Times New Roman"/>
                <w:color w:val="000000"/>
                <w:sz w:val="20"/>
                <w:szCs w:val="20"/>
              </w:rPr>
              <w:t>5*</w:t>
            </w:r>
          </w:p>
        </w:tc>
      </w:tr>
    </w:tbl>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Times New Roman" w:hAnsi="Times New Roman" w:eastAsia="Times New Roman" w:cs="Times New Roman"/>
          <w:sz w:val="20"/>
          <w:szCs w:val="20"/>
        </w:rPr>
      </w:pPr>
      <w:r>
        <w:rPr>
          <w:rFonts w:hint="default" w:ascii="Times New Roman" w:hAnsi="Times New Roman" w:eastAsia="Times New Roman" w:cs="Times New Roman"/>
          <w:b/>
          <w:sz w:val="20"/>
          <w:szCs w:val="20"/>
        </w:rPr>
        <w:t>Abbreviations</w:t>
      </w:r>
      <w:r>
        <w:rPr>
          <w:rFonts w:hint="default" w:ascii="Times New Roman" w:hAnsi="Times New Roman" w:eastAsia="Times New Roman" w:cs="Times New Roman"/>
          <w:sz w:val="20"/>
          <w:szCs w:val="20"/>
        </w:rPr>
        <w:t>: APC = Annual percent change; AAPC = Average Annual percent change; NCDs = non-communicable diseases; CVD = cardiovascular disease.</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vertAlign w:val="superscript"/>
          <w:lang w:val="en-US"/>
        </w:rPr>
        <w:t>a</w:t>
      </w:r>
      <w:r>
        <w:rPr>
          <w:rFonts w:hint="default" w:ascii="Times New Roman" w:hAnsi="Times New Roman" w:eastAsia="Times New Roman" w:cs="Times New Roman"/>
          <w:color w:val="000000"/>
          <w:sz w:val="20"/>
          <w:szCs w:val="20"/>
        </w:rPr>
        <w:t xml:space="preserve"> </w:t>
      </w:r>
      <w:r>
        <w:rPr>
          <w:rFonts w:hint="default" w:ascii="Times New Roman" w:hAnsi="Times New Roman" w:cs="Times New Roman"/>
          <w:sz w:val="20"/>
          <w:szCs w:val="20"/>
        </w:rPr>
        <w:t xml:space="preserve">It was calculated by first converting AAPC to predicted single year change, then exponentiating to the number of study years minus one to produce overall change and its magnitude, which was finally converted to a percent change. </w:t>
      </w:r>
    </w:p>
    <w:p>
      <w:pPr>
        <w:keepNext w:val="0"/>
        <w:keepLines w:val="0"/>
        <w:pageBreakBefore w:val="0"/>
        <w:widowControl/>
        <w:kinsoku/>
        <w:wordWrap/>
        <w:overflowPunct/>
        <w:topLinePunct w:val="0"/>
        <w:autoSpaceDE/>
        <w:autoSpaceDN/>
        <w:bidi w:val="0"/>
        <w:adjustRightInd/>
        <w:snapToGrid/>
        <w:spacing w:after="0" w:line="360" w:lineRule="auto"/>
        <w:textAlignment w:val="auto"/>
        <w:rPr>
          <w:rFonts w:hint="default" w:ascii="Times New Roman" w:hAnsi="Times New Roman" w:cs="Times New Roman"/>
          <w:sz w:val="20"/>
          <w:szCs w:val="20"/>
        </w:rPr>
      </w:pPr>
      <w:r>
        <w:rPr>
          <w:rFonts w:hint="default" w:ascii="Times New Roman" w:hAnsi="Times New Roman" w:eastAsia="Times New Roman" w:cs="Times New Roman"/>
          <w:sz w:val="20"/>
          <w:szCs w:val="20"/>
        </w:rPr>
        <w:t>* Statistically significant at the alpha=0.05 level.</w:t>
      </w:r>
    </w:p>
    <w:sectPr>
      <w:pgSz w:w="15840" w:h="12240" w:orient="landscape"/>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Adobe 宋体 Std L"/>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Palatino Linotype">
    <w:panose1 w:val="02040502050505030304"/>
    <w:charset w:val="00"/>
    <w:family w:val="auto"/>
    <w:pitch w:val="default"/>
    <w:sig w:usb0="E00002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D5"/>
    <w:rsid w:val="000E4DDB"/>
    <w:rsid w:val="001E4F1E"/>
    <w:rsid w:val="002F03F4"/>
    <w:rsid w:val="00442A4D"/>
    <w:rsid w:val="00647519"/>
    <w:rsid w:val="008A0181"/>
    <w:rsid w:val="00AB1ED5"/>
    <w:rsid w:val="00B10B80"/>
    <w:rsid w:val="00C6369B"/>
    <w:rsid w:val="00CB662E"/>
    <w:rsid w:val="00EE66BA"/>
    <w:rsid w:val="00F36716"/>
    <w:rsid w:val="00F40361"/>
    <w:rsid w:val="27022CC0"/>
    <w:rsid w:val="3C62388B"/>
    <w:rsid w:val="406E4CFA"/>
    <w:rsid w:val="461458A0"/>
    <w:rsid w:val="4A10546D"/>
    <w:rsid w:val="63384379"/>
    <w:rsid w:val="66DD1779"/>
    <w:rsid w:val="76C42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320"/>
        <w:tab w:val="right" w:pos="8640"/>
      </w:tabs>
      <w:spacing w:after="0" w:line="240" w:lineRule="auto"/>
    </w:pPr>
  </w:style>
  <w:style w:type="paragraph" w:styleId="3">
    <w:name w:val="header"/>
    <w:basedOn w:val="1"/>
    <w:link w:val="6"/>
    <w:unhideWhenUsed/>
    <w:uiPriority w:val="99"/>
    <w:pPr>
      <w:tabs>
        <w:tab w:val="center" w:pos="4320"/>
        <w:tab w:val="right" w:pos="8640"/>
      </w:tabs>
      <w:spacing w:after="0" w:line="240" w:lineRule="auto"/>
    </w:pPr>
  </w:style>
  <w:style w:type="character" w:customStyle="1" w:styleId="6">
    <w:name w:val="页眉 Char"/>
    <w:basedOn w:val="5"/>
    <w:link w:val="3"/>
    <w:qFormat/>
    <w:uiPriority w:val="99"/>
  </w:style>
  <w:style w:type="character" w:customStyle="1" w:styleId="7">
    <w:name w:val="页脚 Char"/>
    <w:basedOn w:val="5"/>
    <w:link w:val="2"/>
    <w:uiPriority w:val="99"/>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hncdc</Company>
  <Pages>2</Pages>
  <Words>544</Words>
  <Characters>3101</Characters>
  <Lines>25</Lines>
  <Paragraphs>7</Paragraphs>
  <TotalTime>67</TotalTime>
  <ScaleCrop>false</ScaleCrop>
  <LinksUpToDate>false</LinksUpToDate>
  <CharactersWithSpaces>3638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2020-01-13T10:11:00Z</dcterms:created>
  <dc:creator>QH</dc:creator>
  <cp:lastModifiedBy>秋水婕苏</cp:lastModifiedBy>
  <dcterms:modified xsi:type="dcterms:W3CDTF">2020-07-02T13:51:16Z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