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02287" w14:textId="0546026F" w:rsidR="00F66DA7" w:rsidRDefault="008C5A59" w:rsidP="008C5A59">
      <w:pPr>
        <w:jc w:val="center"/>
        <w:rPr>
          <w:rFonts w:ascii="Helvetica" w:hAnsi="Helvetica"/>
          <w:b/>
          <w:bCs/>
          <w:sz w:val="40"/>
          <w:szCs w:val="40"/>
        </w:rPr>
      </w:pPr>
      <w:r w:rsidRPr="008C5A59">
        <w:rPr>
          <w:rFonts w:ascii="Helvetica" w:hAnsi="Helvetica"/>
          <w:b/>
          <w:bCs/>
          <w:sz w:val="40"/>
          <w:szCs w:val="40"/>
        </w:rPr>
        <w:t>A Bayesian brain model of adaptive behavior: An application to the Eisconsin Card Sorting Tas</w:t>
      </w:r>
      <w:r>
        <w:rPr>
          <w:rFonts w:ascii="Helvetica" w:hAnsi="Helvetica"/>
          <w:b/>
          <w:bCs/>
          <w:sz w:val="40"/>
          <w:szCs w:val="40"/>
        </w:rPr>
        <w:t>k</w:t>
      </w:r>
    </w:p>
    <w:p w14:paraId="69D803CF" w14:textId="26EA12C4" w:rsidR="008C5A59" w:rsidRDefault="008C5A59" w:rsidP="008C5A59">
      <w:pPr>
        <w:jc w:val="center"/>
        <w:rPr>
          <w:rFonts w:ascii="Helvetica" w:hAnsi="Helvetica"/>
          <w:b/>
          <w:bCs/>
          <w:sz w:val="36"/>
          <w:szCs w:val="36"/>
        </w:rPr>
      </w:pPr>
      <w:r w:rsidRPr="008C5A59">
        <w:rPr>
          <w:rFonts w:ascii="Helvetica" w:hAnsi="Helvetica"/>
          <w:b/>
          <w:bCs/>
          <w:sz w:val="36"/>
          <w:szCs w:val="36"/>
        </w:rPr>
        <w:t>Supplementary Material</w:t>
      </w:r>
    </w:p>
    <w:p w14:paraId="48B82386" w14:textId="5B37A00C" w:rsidR="008C5A59" w:rsidRDefault="008C5A59" w:rsidP="008C5A59">
      <w:pPr>
        <w:jc w:val="center"/>
        <w:rPr>
          <w:rFonts w:ascii="Helvetica" w:hAnsi="Helvetica"/>
          <w:b/>
          <w:bCs/>
          <w:sz w:val="36"/>
          <w:szCs w:val="36"/>
        </w:rPr>
      </w:pPr>
    </w:p>
    <w:p w14:paraId="0003DA6F" w14:textId="1B12A5D2" w:rsidR="008C5A59" w:rsidRDefault="008C5A59" w:rsidP="008C5A59">
      <w:pPr>
        <w:jc w:val="center"/>
        <w:rPr>
          <w:rFonts w:ascii="Helvetica" w:hAnsi="Helvetica"/>
          <w:b/>
          <w:bCs/>
          <w:sz w:val="24"/>
          <w:szCs w:val="24"/>
        </w:rPr>
      </w:pPr>
      <w:r w:rsidRPr="008C5A59">
        <w:rPr>
          <w:rFonts w:ascii="Helvetica" w:hAnsi="Helvetica"/>
          <w:b/>
          <w:bCs/>
          <w:sz w:val="24"/>
          <w:szCs w:val="24"/>
        </w:rPr>
        <w:t>Marco D’Alessandro, Stefan T. Radev, Andreas Voss, and Luigi Lombardi</w:t>
      </w:r>
    </w:p>
    <w:p w14:paraId="35702DA0" w14:textId="1522765A" w:rsidR="008C5A59" w:rsidRDefault="008C5A59" w:rsidP="008C5A59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         </w:t>
      </w:r>
      <w:r w:rsidRPr="008C5A59">
        <w:rPr>
          <w:rFonts w:ascii="Helvetica" w:hAnsi="Helvetica"/>
          <w:sz w:val="24"/>
          <w:szCs w:val="24"/>
        </w:rPr>
        <w:t>Corresponding author: Marco D’Alessandro (</w:t>
      </w:r>
      <w:hyperlink r:id="rId6" w:history="1">
        <w:r w:rsidRPr="00C65027">
          <w:rPr>
            <w:rStyle w:val="Collegamentoipertestuale"/>
            <w:rFonts w:ascii="Helvetica" w:hAnsi="Helvetica"/>
            <w:sz w:val="24"/>
            <w:szCs w:val="24"/>
          </w:rPr>
          <w:t>marco.dalessandro@unitn.it</w:t>
        </w:r>
      </w:hyperlink>
      <w:r w:rsidRPr="008C5A59">
        <w:rPr>
          <w:rFonts w:ascii="Helvetica" w:hAnsi="Helvetica"/>
          <w:sz w:val="24"/>
          <w:szCs w:val="24"/>
        </w:rPr>
        <w:t>)</w:t>
      </w:r>
    </w:p>
    <w:p w14:paraId="29B17335" w14:textId="4B9728D5" w:rsidR="008C5A59" w:rsidRDefault="008C5A59" w:rsidP="008C5A59">
      <w:pPr>
        <w:rPr>
          <w:rFonts w:ascii="Helvetica" w:hAnsi="Helvetica"/>
          <w:noProof/>
          <w:sz w:val="24"/>
          <w:szCs w:val="24"/>
        </w:rPr>
      </w:pPr>
    </w:p>
    <w:p w14:paraId="0E2C2BBF" w14:textId="2625C050" w:rsidR="008C5A59" w:rsidRDefault="008C5A59" w:rsidP="008C5A59">
      <w:pPr>
        <w:rPr>
          <w:rFonts w:ascii="Helvetica" w:hAnsi="Helvetica"/>
          <w:noProof/>
          <w:sz w:val="24"/>
          <w:szCs w:val="24"/>
        </w:rPr>
      </w:pPr>
    </w:p>
    <w:p w14:paraId="6C95BF48" w14:textId="4B6441C3" w:rsidR="008C5A59" w:rsidRPr="008C5A59" w:rsidRDefault="008C5A59" w:rsidP="008C5A59">
      <w:pPr>
        <w:rPr>
          <w:rFonts w:ascii="Helvetica" w:hAnsi="Helvetica"/>
          <w:noProof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t>In what follows, we provide the full joint posterior densities of the two cognitive parameter</w:t>
      </w:r>
      <w:r w:rsidR="00C620F8">
        <w:rPr>
          <w:rFonts w:ascii="Helvetica" w:hAnsi="Helvetica"/>
          <w:noProof/>
          <w:sz w:val="20"/>
          <w:szCs w:val="20"/>
        </w:rPr>
        <w:t>s</w:t>
      </w:r>
      <w:r>
        <w:rPr>
          <w:rFonts w:ascii="Helvetica" w:hAnsi="Helvetica"/>
          <w:noProof/>
          <w:sz w:val="20"/>
          <w:szCs w:val="20"/>
        </w:rPr>
        <w:t>, namely, flexibility (</w:t>
      </w:r>
      <w:r w:rsidRPr="008C5A59">
        <w:rPr>
          <w:rFonts w:ascii="Helvetica" w:hAnsi="Helvetica"/>
          <w:b/>
          <w:bCs/>
          <w:noProof/>
          <w:sz w:val="20"/>
          <w:szCs w:val="20"/>
        </w:rPr>
        <w:t>λ</w:t>
      </w:r>
      <w:r>
        <w:rPr>
          <w:rFonts w:ascii="Helvetica" w:hAnsi="Helvetica"/>
          <w:noProof/>
          <w:sz w:val="20"/>
          <w:szCs w:val="20"/>
        </w:rPr>
        <w:t xml:space="preserve">) and information loss </w:t>
      </w:r>
      <w:r>
        <w:rPr>
          <w:rFonts w:ascii="Helvetica" w:hAnsi="Helvetica"/>
          <w:noProof/>
          <w:sz w:val="20"/>
          <w:szCs w:val="20"/>
        </w:rPr>
        <w:t>(</w:t>
      </w:r>
      <w:r w:rsidRPr="008C5A59">
        <w:rPr>
          <w:rFonts w:ascii="Helvetica" w:hAnsi="Helvetica"/>
          <w:b/>
          <w:bCs/>
          <w:noProof/>
          <w:sz w:val="20"/>
          <w:szCs w:val="20"/>
        </w:rPr>
        <w:t>δ</w:t>
      </w:r>
      <w:r>
        <w:rPr>
          <w:rFonts w:ascii="Helvetica" w:hAnsi="Helvetica"/>
          <w:noProof/>
          <w:sz w:val="20"/>
          <w:szCs w:val="20"/>
        </w:rPr>
        <w:t>)</w:t>
      </w:r>
      <w:r w:rsidR="00C620F8">
        <w:rPr>
          <w:rFonts w:ascii="Helvetica" w:hAnsi="Helvetica"/>
          <w:noProof/>
          <w:sz w:val="20"/>
          <w:szCs w:val="20"/>
        </w:rPr>
        <w:t>, together with the mean coordinates (dotted lines) used as point estimates to recover information-theoretic quantities in the main text.</w:t>
      </w:r>
    </w:p>
    <w:p w14:paraId="566E1FD0" w14:textId="6F33E8AB" w:rsidR="008C5A59" w:rsidRDefault="008C5A59" w:rsidP="008C5A59">
      <w:pPr>
        <w:rPr>
          <w:rFonts w:ascii="Helvetica" w:hAnsi="Helvetica"/>
          <w:sz w:val="24"/>
          <w:szCs w:val="24"/>
        </w:rPr>
      </w:pPr>
    </w:p>
    <w:p w14:paraId="14AEBF13" w14:textId="00B6D15F" w:rsidR="008C5A59" w:rsidRPr="008C5A59" w:rsidRDefault="008C5A59" w:rsidP="008C5A59">
      <w:pPr>
        <w:rPr>
          <w:rFonts w:ascii="Helvetica" w:hAnsi="Helvetica"/>
          <w:sz w:val="24"/>
          <w:szCs w:val="24"/>
        </w:rPr>
      </w:pPr>
    </w:p>
    <w:p w14:paraId="382FE9CB" w14:textId="358CFC9A" w:rsidR="008C5A59" w:rsidRDefault="008C5A59" w:rsidP="008C5A59">
      <w:pPr>
        <w:rPr>
          <w:rFonts w:ascii="Helvetica" w:hAnsi="Helvetica"/>
          <w:b/>
          <w:bCs/>
          <w:sz w:val="24"/>
          <w:szCs w:val="24"/>
        </w:rPr>
      </w:pPr>
    </w:p>
    <w:p w14:paraId="362A374A" w14:textId="2461EDF1" w:rsidR="008C5A59" w:rsidRDefault="008C5A59" w:rsidP="008C5A59">
      <w:pPr>
        <w:rPr>
          <w:rFonts w:ascii="Helvetica" w:hAnsi="Helvetica"/>
          <w:sz w:val="20"/>
          <w:szCs w:val="20"/>
        </w:rPr>
      </w:pPr>
    </w:p>
    <w:p w14:paraId="63DCF51B" w14:textId="05FC9EF1" w:rsidR="008C5A59" w:rsidRDefault="008C5A59" w:rsidP="008C5A59">
      <w:pPr>
        <w:rPr>
          <w:rFonts w:ascii="Helvetica" w:hAnsi="Helvetica"/>
          <w:sz w:val="20"/>
          <w:szCs w:val="20"/>
        </w:rPr>
      </w:pPr>
    </w:p>
    <w:p w14:paraId="72055285" w14:textId="193E4088" w:rsidR="008C5A59" w:rsidRDefault="008C5A59" w:rsidP="008C5A59">
      <w:pPr>
        <w:rPr>
          <w:rFonts w:ascii="Helvetica" w:hAnsi="Helvetica"/>
          <w:sz w:val="20"/>
          <w:szCs w:val="20"/>
        </w:rPr>
      </w:pPr>
    </w:p>
    <w:p w14:paraId="79D806DC" w14:textId="29B72CE3" w:rsidR="008C5A59" w:rsidRDefault="008C5A59" w:rsidP="008C5A59">
      <w:pPr>
        <w:rPr>
          <w:rFonts w:ascii="Helvetica" w:hAnsi="Helvetica"/>
          <w:sz w:val="20"/>
          <w:szCs w:val="20"/>
        </w:rPr>
      </w:pPr>
    </w:p>
    <w:p w14:paraId="07FDC2FE" w14:textId="2D2E2D57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5F8E3CBE" w14:textId="6EBD3291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B49D3F1" w14:textId="0A54BAB7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F8BC330" w14:textId="647043B5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2EF34A17" w14:textId="16871F56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0B9BA997" w14:textId="246C08A1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55FC1CB2" w14:textId="72B8704F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5FB2BCE0" w14:textId="7D5270C0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3EC11EF1" w14:textId="0792C663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797EAC35" w14:textId="0BA15E53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48AC4D60" w14:textId="152130B2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3555E7D1" w14:textId="7D0C50A8" w:rsidR="00C620F8" w:rsidRDefault="00C620F8" w:rsidP="00C620F8">
      <w:pPr>
        <w:rPr>
          <w:rFonts w:ascii="Helvetica" w:hAnsi="Helvetica"/>
          <w:sz w:val="20"/>
          <w:szCs w:val="20"/>
        </w:rPr>
      </w:pPr>
    </w:p>
    <w:p w14:paraId="5C7F372A" w14:textId="17742319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5D732B94" w14:textId="265BC122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290CEC33" w14:textId="6FCE38DD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55687C68" w14:textId="24798104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4574B1F" w14:textId="549407CE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3AA46C4E" w14:textId="34C1A1F2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1A70FC78" w14:textId="325202AB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37F604EA" w14:textId="61C51D23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22BC9B8B" w14:textId="2E4AB1BA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1E612CEB" w14:textId="55B7038E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06AE06C3" w14:textId="1BA8D988" w:rsidR="00C620F8" w:rsidRPr="00C620F8" w:rsidRDefault="00C620F8" w:rsidP="00C620F8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D06277" wp14:editId="52649BD0">
            <wp:simplePos x="0" y="0"/>
            <wp:positionH relativeFrom="margin">
              <wp:posOffset>-1250950</wp:posOffset>
            </wp:positionH>
            <wp:positionV relativeFrom="paragraph">
              <wp:posOffset>230505</wp:posOffset>
            </wp:positionV>
            <wp:extent cx="8637905" cy="4559935"/>
            <wp:effectExtent l="635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7905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A5479" w14:textId="346A6769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44CB2461" w14:textId="0709C659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0297085" w14:textId="73B9A459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7D2099F9" w14:textId="62A38F22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BD74AC2" w14:textId="519E08F4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0A25BBCA" w14:textId="0713671C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31DE5961" w14:textId="10A3B80A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3AC70B65" w14:textId="010CFCA9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A458023" w14:textId="0751A705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28123C3" w14:textId="0F45CB7B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039BE6C8" w14:textId="0EF149DF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59ABA0DD" w14:textId="2847289C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4CEDB8D8" w14:textId="56D91DF2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25EA0D5" w14:textId="634CF600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1A864A0D" w14:textId="2CD3855A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49AFA31D" w14:textId="72116C12" w:rsidR="00C620F8" w:rsidRDefault="00C620F8" w:rsidP="00C620F8">
      <w:pPr>
        <w:rPr>
          <w:rFonts w:ascii="Helvetica" w:hAnsi="Helvetica"/>
          <w:sz w:val="20"/>
          <w:szCs w:val="20"/>
        </w:rPr>
      </w:pPr>
    </w:p>
    <w:p w14:paraId="216BD4E5" w14:textId="40D30D76" w:rsidR="00C620F8" w:rsidRDefault="00C620F8" w:rsidP="00C620F8">
      <w:pPr>
        <w:rPr>
          <w:rFonts w:ascii="Helvetica" w:hAnsi="Helvetica"/>
          <w:sz w:val="20"/>
          <w:szCs w:val="20"/>
        </w:rPr>
      </w:pPr>
    </w:p>
    <w:p w14:paraId="7BB85183" w14:textId="691C1323" w:rsidR="00C620F8" w:rsidRDefault="00C620F8" w:rsidP="00C620F8">
      <w:pPr>
        <w:ind w:firstLine="708"/>
        <w:rPr>
          <w:rFonts w:ascii="Helvetica" w:hAnsi="Helvetica"/>
          <w:sz w:val="20"/>
          <w:szCs w:val="20"/>
        </w:rPr>
      </w:pPr>
    </w:p>
    <w:p w14:paraId="75170BFD" w14:textId="1033E6CB" w:rsidR="00C620F8" w:rsidRDefault="00C620F8" w:rsidP="00C620F8">
      <w:pPr>
        <w:ind w:firstLine="708"/>
        <w:rPr>
          <w:rFonts w:ascii="Helvetica" w:hAnsi="Helvetica"/>
          <w:sz w:val="20"/>
          <w:szCs w:val="20"/>
        </w:rPr>
      </w:pPr>
    </w:p>
    <w:p w14:paraId="3229B338" w14:textId="04CD2B09" w:rsidR="00C620F8" w:rsidRDefault="00C620F8" w:rsidP="00C620F8">
      <w:pPr>
        <w:ind w:firstLine="708"/>
        <w:rPr>
          <w:rFonts w:ascii="Helvetica" w:hAnsi="Helvetica"/>
          <w:sz w:val="20"/>
          <w:szCs w:val="20"/>
        </w:rPr>
      </w:pPr>
    </w:p>
    <w:p w14:paraId="4DF8BAE1" w14:textId="5A8CB270" w:rsidR="00C620F8" w:rsidRDefault="00C620F8" w:rsidP="00C620F8">
      <w:pPr>
        <w:ind w:firstLine="708"/>
        <w:rPr>
          <w:rFonts w:ascii="Helvetica" w:hAnsi="Helvetica"/>
          <w:sz w:val="20"/>
          <w:szCs w:val="20"/>
        </w:rPr>
      </w:pPr>
    </w:p>
    <w:p w14:paraId="62A65D89" w14:textId="03265045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FE212AC" w14:textId="4EF345C0" w:rsidR="00C620F8" w:rsidRPr="00C620F8" w:rsidRDefault="00C620F8" w:rsidP="00C620F8">
      <w:pPr>
        <w:rPr>
          <w:rFonts w:ascii="Helvetica" w:hAnsi="Helvetica"/>
          <w:sz w:val="20"/>
          <w:szCs w:val="20"/>
        </w:rPr>
      </w:pPr>
    </w:p>
    <w:p w14:paraId="65C7AB7E" w14:textId="380AEB53" w:rsidR="00C620F8" w:rsidRDefault="00C620F8" w:rsidP="00C620F8">
      <w:pPr>
        <w:rPr>
          <w:rFonts w:ascii="Helvetica" w:hAnsi="Helvetica"/>
          <w:sz w:val="20"/>
          <w:szCs w:val="20"/>
        </w:rPr>
      </w:pPr>
    </w:p>
    <w:p w14:paraId="15F28DDF" w14:textId="208952EF" w:rsidR="00C620F8" w:rsidRDefault="00C620F8" w:rsidP="00C620F8">
      <w:pPr>
        <w:rPr>
          <w:rFonts w:ascii="Helvetica" w:hAnsi="Helvetica"/>
          <w:sz w:val="20"/>
          <w:szCs w:val="20"/>
        </w:rPr>
      </w:pPr>
    </w:p>
    <w:p w14:paraId="540F05E2" w14:textId="4F3F5EAC" w:rsidR="00C620F8" w:rsidRDefault="00C620F8" w:rsidP="00C620F8">
      <w:pPr>
        <w:rPr>
          <w:rFonts w:ascii="Helvetica" w:hAnsi="Helvetic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131F2" wp14:editId="3AF2D5AD">
                <wp:simplePos x="0" y="0"/>
                <wp:positionH relativeFrom="column">
                  <wp:posOffset>784860</wp:posOffset>
                </wp:positionH>
                <wp:positionV relativeFrom="paragraph">
                  <wp:posOffset>77470</wp:posOffset>
                </wp:positionV>
                <wp:extent cx="4559935" cy="43815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935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D677EC" w14:textId="4F45A10C" w:rsidR="00C620F8" w:rsidRPr="00C620F8" w:rsidRDefault="00C620F8" w:rsidP="00C620F8">
                            <w:pPr>
                              <w:pStyle w:val="Didascalia"/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620F8">
                              <w:rPr>
                                <w:rFonts w:ascii="Helvetica" w:eastAsia="HGMaruGothicMPRO" w:hAnsi="Helvetic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Healthy individuals.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color w:val="auto"/>
                              </w:rPr>
                              <w:t>The figure shows the joint posterior density of the two cognitive parameters for each participant in the control group.</w:t>
                            </w:r>
                            <w:r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color w:val="auto"/>
                              </w:rPr>
                              <w:t xml:space="preserve"> Dotted lines show the distribution mean.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131F2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1.8pt;margin-top:6.1pt;width:359.05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" stroked="f">
                <v:textbox inset="0,0,0,0">
                  <w:txbxContent>
                    <w:p w14:paraId="68D677EC" w14:textId="4F45A10C" w:rsidR="00C620F8" w:rsidRPr="00C620F8" w:rsidRDefault="00C620F8" w:rsidP="00C620F8">
                      <w:pPr>
                        <w:pStyle w:val="Didascalia"/>
                        <w:rPr>
                          <w:rFonts w:ascii="Helvetica" w:eastAsia="HGMaruGothicMPRO" w:hAnsi="Helvetica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620F8">
                        <w:rPr>
                          <w:rFonts w:ascii="Helvetica" w:eastAsia="HGMaruGothicMPRO" w:hAnsi="Helvetic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Healthy individuals.</w:t>
                      </w:r>
                      <w:r w:rsidRPr="00C620F8">
                        <w:rPr>
                          <w:rFonts w:ascii="Helvetica" w:eastAsia="HGMaruGothicMPRO" w:hAnsi="Helvetica"/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 w:rsidRPr="00C620F8">
                        <w:rPr>
                          <w:rFonts w:ascii="Helvetica" w:eastAsia="HGMaruGothicMPRO" w:hAnsi="Helvetica"/>
                          <w:i w:val="0"/>
                          <w:iCs w:val="0"/>
                          <w:color w:val="auto"/>
                        </w:rPr>
                        <w:t>The figure shows the joint posterior density of the two cognitive parameters for each participant in the control group.</w:t>
                      </w:r>
                      <w:r>
                        <w:rPr>
                          <w:rFonts w:ascii="Helvetica" w:eastAsia="HGMaruGothicMPRO" w:hAnsi="Helvetica"/>
                          <w:i w:val="0"/>
                          <w:iCs w:val="0"/>
                          <w:color w:val="auto"/>
                        </w:rPr>
                        <w:t xml:space="preserve"> Dotted lines show the distribution mean.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BDEC7D" w14:textId="5D265405" w:rsidR="00C620F8" w:rsidRDefault="00C620F8" w:rsidP="00C620F8">
      <w:pPr>
        <w:rPr>
          <w:rFonts w:ascii="Helvetica" w:hAnsi="Helvetica"/>
          <w:sz w:val="20"/>
          <w:szCs w:val="20"/>
        </w:rPr>
      </w:pPr>
    </w:p>
    <w:p w14:paraId="22723124" w14:textId="5C0B1ECC" w:rsidR="00C620F8" w:rsidRPr="00C620F8" w:rsidRDefault="00C620F8" w:rsidP="00C620F8">
      <w:pPr>
        <w:rPr>
          <w:rFonts w:ascii="Helvetica" w:hAnsi="Helvetica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A95EFD" wp14:editId="4CBB5D4A">
                <wp:simplePos x="0" y="0"/>
                <wp:positionH relativeFrom="column">
                  <wp:posOffset>521335</wp:posOffset>
                </wp:positionH>
                <wp:positionV relativeFrom="paragraph">
                  <wp:posOffset>7926705</wp:posOffset>
                </wp:positionV>
                <wp:extent cx="5079365" cy="635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9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D5C809" w14:textId="6A53F1FE" w:rsidR="00C620F8" w:rsidRPr="00C620F8" w:rsidRDefault="00C620F8" w:rsidP="00C620F8">
                            <w:pPr>
                              <w:pStyle w:val="Didascalia"/>
                              <w:rPr>
                                <w:rFonts w:ascii="Helvetica" w:hAnsi="Helvetica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620F8">
                              <w:rPr>
                                <w:rFonts w:ascii="Helvetica" w:eastAsia="HGMaruGothicMPRO" w:hAnsi="Helvetic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Sudstance dependent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individuals.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color w:val="auto"/>
                              </w:rPr>
                              <w:t xml:space="preserve">The figure shows the joint posterior density of the two cognitive parameters for each 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color w:val="auto"/>
                              </w:rPr>
                              <w:t>patient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color w:val="auto"/>
                              </w:rPr>
                              <w:t xml:space="preserve"> in the 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color w:val="auto"/>
                              </w:rPr>
                              <w:t>SDI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color w:val="auto"/>
                              </w:rPr>
                              <w:t xml:space="preserve"> group</w:t>
                            </w:r>
                            <w:r w:rsidRPr="00C620F8"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color w:val="auto"/>
                              </w:rPr>
                              <w:t>.</w:t>
                            </w:r>
                            <w:r>
                              <w:rPr>
                                <w:rFonts w:ascii="Helvetica" w:eastAsia="HGMaruGothicMPRO" w:hAnsi="Helvetica"/>
                                <w:i w:val="0"/>
                                <w:iCs w:val="0"/>
                                <w:color w:val="auto"/>
                              </w:rPr>
                              <w:t xml:space="preserve"> Dotted lines show the distribution mean.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95EFD" id="Casella di testo 4" o:spid="_x0000_s1027" type="#_x0000_t202" style="position:absolute;margin-left:41.05pt;margin-top:624.15pt;width:399.9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" stroked="f">
                <v:textbox style="mso-fit-shape-to-text:t" inset="0,0,0,0">
                  <w:txbxContent>
                    <w:p w14:paraId="43D5C809" w14:textId="6A53F1FE" w:rsidR="00C620F8" w:rsidRPr="00C620F8" w:rsidRDefault="00C620F8" w:rsidP="00C620F8">
                      <w:pPr>
                        <w:pStyle w:val="Didascalia"/>
                        <w:rPr>
                          <w:rFonts w:ascii="Helvetica" w:hAnsi="Helvetica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620F8">
                        <w:rPr>
                          <w:rFonts w:ascii="Helvetica" w:eastAsia="HGMaruGothicMPRO" w:hAnsi="Helvetic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Sudstance dependent</w:t>
                      </w:r>
                      <w:r w:rsidRPr="00C620F8">
                        <w:rPr>
                          <w:rFonts w:ascii="Helvetica" w:eastAsia="HGMaruGothicMPRO" w:hAnsi="Helvetic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individuals.</w:t>
                      </w:r>
                      <w:r w:rsidRPr="00C620F8">
                        <w:rPr>
                          <w:rFonts w:ascii="Helvetica" w:eastAsia="HGMaruGothicMPRO" w:hAnsi="Helvetica"/>
                          <w:b/>
                          <w:bCs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 w:rsidRPr="00C620F8">
                        <w:rPr>
                          <w:rFonts w:ascii="Helvetica" w:eastAsia="HGMaruGothicMPRO" w:hAnsi="Helvetica"/>
                          <w:i w:val="0"/>
                          <w:iCs w:val="0"/>
                          <w:color w:val="auto"/>
                        </w:rPr>
                        <w:t xml:space="preserve">The figure shows the joint posterior density of the two cognitive parameters for each </w:t>
                      </w:r>
                      <w:r w:rsidRPr="00C620F8">
                        <w:rPr>
                          <w:rFonts w:ascii="Helvetica" w:eastAsia="HGMaruGothicMPRO" w:hAnsi="Helvetica"/>
                          <w:i w:val="0"/>
                          <w:iCs w:val="0"/>
                          <w:color w:val="auto"/>
                        </w:rPr>
                        <w:t>patient</w:t>
                      </w:r>
                      <w:r w:rsidRPr="00C620F8">
                        <w:rPr>
                          <w:rFonts w:ascii="Helvetica" w:eastAsia="HGMaruGothicMPRO" w:hAnsi="Helvetica"/>
                          <w:i w:val="0"/>
                          <w:iCs w:val="0"/>
                          <w:color w:val="auto"/>
                        </w:rPr>
                        <w:t xml:space="preserve"> in the </w:t>
                      </w:r>
                      <w:r w:rsidRPr="00C620F8">
                        <w:rPr>
                          <w:rFonts w:ascii="Helvetica" w:eastAsia="HGMaruGothicMPRO" w:hAnsi="Helvetica"/>
                          <w:i w:val="0"/>
                          <w:iCs w:val="0"/>
                          <w:color w:val="auto"/>
                        </w:rPr>
                        <w:t>SDI</w:t>
                      </w:r>
                      <w:r w:rsidRPr="00C620F8">
                        <w:rPr>
                          <w:rFonts w:ascii="Helvetica" w:eastAsia="HGMaruGothicMPRO" w:hAnsi="Helvetica"/>
                          <w:i w:val="0"/>
                          <w:iCs w:val="0"/>
                          <w:color w:val="auto"/>
                        </w:rPr>
                        <w:t xml:space="preserve"> group</w:t>
                      </w:r>
                      <w:r w:rsidRPr="00C620F8">
                        <w:rPr>
                          <w:rFonts w:ascii="Helvetica" w:eastAsia="HGMaruGothicMPRO" w:hAnsi="Helvetica"/>
                          <w:i w:val="0"/>
                          <w:iCs w:val="0"/>
                          <w:color w:val="auto"/>
                        </w:rPr>
                        <w:t>.</w:t>
                      </w:r>
                      <w:r>
                        <w:rPr>
                          <w:rFonts w:ascii="Helvetica" w:eastAsia="HGMaruGothicMPRO" w:hAnsi="Helvetica"/>
                          <w:i w:val="0"/>
                          <w:iCs w:val="0"/>
                          <w:color w:val="auto"/>
                        </w:rPr>
                        <w:t xml:space="preserve"> Dotted lines show the distribution mean.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954E64" wp14:editId="0D6EB664">
            <wp:simplePos x="0" y="0"/>
            <wp:positionH relativeFrom="margin">
              <wp:align>center</wp:align>
            </wp:positionH>
            <wp:positionV relativeFrom="paragraph">
              <wp:posOffset>1395095</wp:posOffset>
            </wp:positionV>
            <wp:extent cx="7869555" cy="5079365"/>
            <wp:effectExtent l="4445" t="0" r="2540" b="254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9555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0F8" w:rsidRPr="00C620F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CD4C9" w14:textId="77777777" w:rsidR="005E34CB" w:rsidRDefault="005E34CB" w:rsidP="00C620F8">
      <w:pPr>
        <w:spacing w:after="0" w:line="240" w:lineRule="auto"/>
      </w:pPr>
      <w:r>
        <w:separator/>
      </w:r>
    </w:p>
  </w:endnote>
  <w:endnote w:type="continuationSeparator" w:id="0">
    <w:p w14:paraId="3F31D548" w14:textId="77777777" w:rsidR="005E34CB" w:rsidRDefault="005E34CB" w:rsidP="00C62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D735A" w14:textId="77777777" w:rsidR="005E34CB" w:rsidRDefault="005E34CB" w:rsidP="00C620F8">
      <w:pPr>
        <w:spacing w:after="0" w:line="240" w:lineRule="auto"/>
      </w:pPr>
      <w:r>
        <w:separator/>
      </w:r>
    </w:p>
  </w:footnote>
  <w:footnote w:type="continuationSeparator" w:id="0">
    <w:p w14:paraId="6DA122A4" w14:textId="77777777" w:rsidR="005E34CB" w:rsidRDefault="005E34CB" w:rsidP="00C620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1C3"/>
    <w:rsid w:val="005E34CB"/>
    <w:rsid w:val="006961C3"/>
    <w:rsid w:val="008C5A59"/>
    <w:rsid w:val="00C620F8"/>
    <w:rsid w:val="00F6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BF8C7"/>
  <w15:chartTrackingRefBased/>
  <w15:docId w15:val="{DEAAD7CF-8EB0-487F-96BD-7F4865777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C5A5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C5A5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C620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20F8"/>
  </w:style>
  <w:style w:type="paragraph" w:styleId="Pidipagina">
    <w:name w:val="footer"/>
    <w:basedOn w:val="Normale"/>
    <w:link w:val="PidipaginaCarattere"/>
    <w:uiPriority w:val="99"/>
    <w:unhideWhenUsed/>
    <w:rsid w:val="00C620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20F8"/>
  </w:style>
  <w:style w:type="paragraph" w:styleId="Didascalia">
    <w:name w:val="caption"/>
    <w:basedOn w:val="Normale"/>
    <w:next w:val="Normale"/>
    <w:uiPriority w:val="35"/>
    <w:unhideWhenUsed/>
    <w:qFormat/>
    <w:rsid w:val="00C620F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co.dalessandro@unitn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DAlessandro Marco</dc:creator>
  <cp:keywords/>
  <dc:description/>
  <cp:lastModifiedBy>DAlessandro Marco</cp:lastModifiedBy>
  <cp:revision>2</cp:revision>
  <dcterms:created xsi:type="dcterms:W3CDTF">2020-09-14T08:04:00Z</dcterms:created>
  <dcterms:modified xsi:type="dcterms:W3CDTF">2020-09-14T08:24:00Z</dcterms:modified>
</cp:coreProperties>
</file>