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7C6" w14:textId="355C622E" w:rsidR="00414531" w:rsidRPr="00414531" w:rsidRDefault="00F943E3" w:rsidP="00F943E3">
      <w:pPr>
        <w:rPr>
          <w:sz w:val="24"/>
          <w:szCs w:val="24"/>
        </w:rPr>
      </w:pPr>
      <w:r w:rsidRPr="00414531">
        <w:rPr>
          <w:b/>
          <w:bCs/>
          <w:sz w:val="24"/>
          <w:szCs w:val="24"/>
        </w:rPr>
        <w:t xml:space="preserve">Supplementary Table 3: </w:t>
      </w:r>
      <w:r w:rsidRPr="00414531">
        <w:rPr>
          <w:sz w:val="24"/>
          <w:szCs w:val="24"/>
        </w:rPr>
        <w:t xml:space="preserve">Study </w:t>
      </w:r>
      <w:r w:rsidR="00414531">
        <w:rPr>
          <w:sz w:val="24"/>
          <w:szCs w:val="24"/>
        </w:rPr>
        <w:t>C</w:t>
      </w:r>
      <w:r w:rsidRPr="00414531">
        <w:rPr>
          <w:sz w:val="24"/>
          <w:szCs w:val="24"/>
        </w:rPr>
        <w:t xml:space="preserve">haracteristics for the </w:t>
      </w:r>
      <w:r w:rsidR="00414531">
        <w:rPr>
          <w:sz w:val="24"/>
          <w:szCs w:val="24"/>
        </w:rPr>
        <w:t>U</w:t>
      </w:r>
      <w:r w:rsidRPr="00414531">
        <w:rPr>
          <w:sz w:val="24"/>
          <w:szCs w:val="24"/>
        </w:rPr>
        <w:t xml:space="preserve">ncontrolled </w:t>
      </w:r>
      <w:r w:rsidR="00414531">
        <w:rPr>
          <w:sz w:val="24"/>
          <w:szCs w:val="24"/>
        </w:rPr>
        <w:t>T</w:t>
      </w:r>
      <w:r w:rsidRPr="00414531">
        <w:rPr>
          <w:sz w:val="24"/>
          <w:szCs w:val="24"/>
        </w:rPr>
        <w:t>rials</w:t>
      </w:r>
    </w:p>
    <w:tbl>
      <w:tblPr>
        <w:tblStyle w:val="GridTable4-Accent1"/>
        <w:tblW w:w="11340" w:type="dxa"/>
        <w:tblInd w:w="-905" w:type="dxa"/>
        <w:tblLook w:val="04A0" w:firstRow="1" w:lastRow="0" w:firstColumn="1" w:lastColumn="0" w:noHBand="0" w:noVBand="1"/>
      </w:tblPr>
      <w:tblGrid>
        <w:gridCol w:w="1620"/>
        <w:gridCol w:w="3389"/>
        <w:gridCol w:w="1590"/>
        <w:gridCol w:w="2086"/>
        <w:gridCol w:w="1339"/>
        <w:gridCol w:w="1316"/>
      </w:tblGrid>
      <w:tr w:rsidR="00B23D37" w:rsidRPr="00786188" w14:paraId="71476DF8" w14:textId="77777777" w:rsidTr="0089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64AD00D" w14:textId="77777777" w:rsidR="00B23D37" w:rsidRPr="00786188" w:rsidRDefault="00B23D37" w:rsidP="00896162">
            <w:pPr>
              <w:jc w:val="center"/>
              <w:rPr>
                <w:rFonts w:ascii="Calibri" w:eastAsia="Times New Roman" w:hAnsi="Calibri" w:cs="Calibri"/>
              </w:rPr>
            </w:pPr>
            <w:bookmarkStart w:id="0" w:name="_Hlk49941092"/>
            <w:r w:rsidRPr="00786188">
              <w:rPr>
                <w:rFonts w:ascii="Calibri" w:eastAsia="Times New Roman" w:hAnsi="Calibri" w:cs="Calibri"/>
              </w:rPr>
              <w:t>Study</w:t>
            </w:r>
          </w:p>
        </w:tc>
        <w:tc>
          <w:tcPr>
            <w:tcW w:w="3389" w:type="dxa"/>
            <w:noWrap/>
            <w:hideMark/>
          </w:tcPr>
          <w:p w14:paraId="7F1C4987" w14:textId="77777777" w:rsidR="00B23D37" w:rsidRPr="00786188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86188">
              <w:rPr>
                <w:rFonts w:ascii="Calibri" w:eastAsia="Times New Roman" w:hAnsi="Calibri" w:cs="Calibri"/>
              </w:rPr>
              <w:t>Methods</w:t>
            </w:r>
          </w:p>
        </w:tc>
        <w:tc>
          <w:tcPr>
            <w:tcW w:w="1590" w:type="dxa"/>
            <w:noWrap/>
            <w:hideMark/>
          </w:tcPr>
          <w:p w14:paraId="7B3DB2D4" w14:textId="77777777" w:rsidR="00B23D37" w:rsidRPr="00786188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86188">
              <w:rPr>
                <w:rFonts w:ascii="Calibri" w:eastAsia="Times New Roman" w:hAnsi="Calibri" w:cs="Calibri"/>
              </w:rPr>
              <w:t>TCZ Administration</w:t>
            </w:r>
          </w:p>
        </w:tc>
        <w:tc>
          <w:tcPr>
            <w:tcW w:w="2086" w:type="dxa"/>
            <w:noWrap/>
            <w:hideMark/>
          </w:tcPr>
          <w:p w14:paraId="090279B6" w14:textId="77777777" w:rsidR="00B23D37" w:rsidRPr="00786188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86188">
              <w:rPr>
                <w:rFonts w:ascii="Calibri" w:eastAsia="Times New Roman" w:hAnsi="Calibri" w:cs="Calibri"/>
              </w:rPr>
              <w:t>Additional Treatments</w:t>
            </w:r>
          </w:p>
        </w:tc>
        <w:tc>
          <w:tcPr>
            <w:tcW w:w="1339" w:type="dxa"/>
            <w:noWrap/>
            <w:hideMark/>
          </w:tcPr>
          <w:p w14:paraId="3F03F6FC" w14:textId="77777777" w:rsidR="00B23D37" w:rsidRPr="00786188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86188">
              <w:rPr>
                <w:rFonts w:ascii="Calibri" w:eastAsia="Times New Roman" w:hAnsi="Calibri" w:cs="Calibri"/>
              </w:rPr>
              <w:t>Length of Observation</w:t>
            </w:r>
          </w:p>
        </w:tc>
        <w:tc>
          <w:tcPr>
            <w:tcW w:w="1316" w:type="dxa"/>
            <w:noWrap/>
            <w:hideMark/>
          </w:tcPr>
          <w:p w14:paraId="16270069" w14:textId="77777777" w:rsidR="00B23D37" w:rsidRPr="00786188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86188">
              <w:rPr>
                <w:rFonts w:ascii="Calibri" w:eastAsia="Times New Roman" w:hAnsi="Calibri" w:cs="Calibri"/>
              </w:rPr>
              <w:t>Mortality</w:t>
            </w:r>
          </w:p>
        </w:tc>
      </w:tr>
      <w:tr w:rsidR="00B23D37" w:rsidRPr="00786188" w14:paraId="0A03EA4B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C52BB47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Luo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45</w:t>
            </w:r>
          </w:p>
        </w:tc>
        <w:tc>
          <w:tcPr>
            <w:tcW w:w="3389" w:type="dxa"/>
            <w:noWrap/>
            <w:hideMark/>
          </w:tcPr>
          <w:p w14:paraId="6CE77A1E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Retrospective analysis of 15 COVID-19 patients of varying severity treated with TCZ in a hospital in China.</w:t>
            </w:r>
          </w:p>
        </w:tc>
        <w:tc>
          <w:tcPr>
            <w:tcW w:w="1590" w:type="dxa"/>
            <w:noWrap/>
            <w:hideMark/>
          </w:tcPr>
          <w:p w14:paraId="0744BD40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240-600 mg</w:t>
            </w:r>
          </w:p>
        </w:tc>
        <w:tc>
          <w:tcPr>
            <w:tcW w:w="2086" w:type="dxa"/>
            <w:noWrap/>
            <w:hideMark/>
          </w:tcPr>
          <w:p w14:paraId="731CE68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1339" w:type="dxa"/>
            <w:noWrap/>
            <w:hideMark/>
          </w:tcPr>
          <w:p w14:paraId="36C50F01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7 days</w:t>
            </w:r>
          </w:p>
        </w:tc>
        <w:tc>
          <w:tcPr>
            <w:tcW w:w="1316" w:type="dxa"/>
            <w:noWrap/>
            <w:hideMark/>
          </w:tcPr>
          <w:p w14:paraId="40DD6F4E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3/15 (20%)</w:t>
            </w:r>
          </w:p>
        </w:tc>
      </w:tr>
      <w:tr w:rsidR="00B23D37" w:rsidRPr="00786188" w14:paraId="78B96AA3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33FE263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Toniati et a.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46</w:t>
            </w:r>
          </w:p>
        </w:tc>
        <w:tc>
          <w:tcPr>
            <w:tcW w:w="3389" w:type="dxa"/>
            <w:noWrap/>
            <w:hideMark/>
          </w:tcPr>
          <w:p w14:paraId="54DCD112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Prospective trial of 100 consecutive patients comparing ICU (n=57) and non-ICU patient on noninvasive ventilation in multiple Italian hospitals. Assessed at 10 days.</w:t>
            </w:r>
          </w:p>
        </w:tc>
        <w:tc>
          <w:tcPr>
            <w:tcW w:w="1590" w:type="dxa"/>
            <w:noWrap/>
            <w:hideMark/>
          </w:tcPr>
          <w:p w14:paraId="364D88F7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2 doses [12 hrs. apart], 8 mg/kg</w:t>
            </w:r>
          </w:p>
        </w:tc>
        <w:tc>
          <w:tcPr>
            <w:tcW w:w="2086" w:type="dxa"/>
            <w:noWrap/>
            <w:hideMark/>
          </w:tcPr>
          <w:p w14:paraId="578C3502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1339" w:type="dxa"/>
            <w:noWrap/>
            <w:hideMark/>
          </w:tcPr>
          <w:p w14:paraId="38DA804B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1316" w:type="dxa"/>
            <w:noWrap/>
            <w:hideMark/>
          </w:tcPr>
          <w:p w14:paraId="31788CAC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20/100 (20%)</w:t>
            </w:r>
          </w:p>
        </w:tc>
      </w:tr>
      <w:tr w:rsidR="00B23D37" w:rsidRPr="00786188" w14:paraId="348BC454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C3CEC57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Xu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47</w:t>
            </w:r>
          </w:p>
        </w:tc>
        <w:tc>
          <w:tcPr>
            <w:tcW w:w="3389" w:type="dxa"/>
            <w:noWrap/>
            <w:hideMark/>
          </w:tcPr>
          <w:p w14:paraId="4843D2FF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Uncontrolled trial of TCZ administration for 20 patients with severe or critical COVID-19 in a hospital in China</w:t>
            </w:r>
          </w:p>
        </w:tc>
        <w:tc>
          <w:tcPr>
            <w:tcW w:w="1590" w:type="dxa"/>
            <w:noWrap/>
            <w:hideMark/>
          </w:tcPr>
          <w:p w14:paraId="6D02512F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1-2 doses [12 hrs. apart], 4-8 mg/kg to 800 mg</w:t>
            </w:r>
          </w:p>
        </w:tc>
        <w:tc>
          <w:tcPr>
            <w:tcW w:w="2086" w:type="dxa"/>
            <w:noWrap/>
            <w:hideMark/>
          </w:tcPr>
          <w:p w14:paraId="0CF15C08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Lopinavir/ritonavir, IFN-α, ribavirin, glucocorticoid, methylprednisolone</w:t>
            </w:r>
          </w:p>
        </w:tc>
        <w:tc>
          <w:tcPr>
            <w:tcW w:w="1339" w:type="dxa"/>
            <w:noWrap/>
            <w:hideMark/>
          </w:tcPr>
          <w:p w14:paraId="22645E5F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11 days</w:t>
            </w:r>
          </w:p>
        </w:tc>
        <w:tc>
          <w:tcPr>
            <w:tcW w:w="1316" w:type="dxa"/>
            <w:noWrap/>
            <w:hideMark/>
          </w:tcPr>
          <w:p w14:paraId="7F853694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0/20 (0%)</w:t>
            </w:r>
          </w:p>
        </w:tc>
      </w:tr>
      <w:tr w:rsidR="00B23D37" w:rsidRPr="00786188" w14:paraId="70BC1EAD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0F78807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</w:rPr>
              <w:t>Price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48</w:t>
            </w:r>
          </w:p>
        </w:tc>
        <w:tc>
          <w:tcPr>
            <w:tcW w:w="3389" w:type="dxa"/>
            <w:noWrap/>
            <w:hideMark/>
          </w:tcPr>
          <w:p w14:paraId="632A799D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Observational, retrospective study of 153 consecutive patients who were provided TCZ in a Connecticut medical center. Severe and non-severe patients had similar survival.</w:t>
            </w:r>
          </w:p>
        </w:tc>
        <w:tc>
          <w:tcPr>
            <w:tcW w:w="1590" w:type="dxa"/>
            <w:noWrap/>
            <w:hideMark/>
          </w:tcPr>
          <w:p w14:paraId="6F886CA6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dose (2 for patients with high BMI), 8 mg/kg to 800 mg</w:t>
            </w:r>
          </w:p>
        </w:tc>
        <w:tc>
          <w:tcPr>
            <w:tcW w:w="2086" w:type="dxa"/>
            <w:noWrap/>
            <w:hideMark/>
          </w:tcPr>
          <w:p w14:paraId="5FBD1CBB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Combinations of hydroxychloroquine and antivirals</w:t>
            </w:r>
          </w:p>
        </w:tc>
        <w:tc>
          <w:tcPr>
            <w:tcW w:w="1339" w:type="dxa"/>
            <w:noWrap/>
            <w:hideMark/>
          </w:tcPr>
          <w:p w14:paraId="750418A8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21-day observation period (mortality after 14 days)</w:t>
            </w:r>
          </w:p>
        </w:tc>
        <w:tc>
          <w:tcPr>
            <w:tcW w:w="1316" w:type="dxa"/>
            <w:noWrap/>
            <w:hideMark/>
          </w:tcPr>
          <w:p w14:paraId="3932E65C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20/153 (13%)</w:t>
            </w:r>
          </w:p>
        </w:tc>
      </w:tr>
      <w:tr w:rsidR="00B23D37" w:rsidRPr="00786188" w14:paraId="6951BD27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BF1C915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Sciascia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49</w:t>
            </w:r>
          </w:p>
        </w:tc>
        <w:tc>
          <w:tcPr>
            <w:tcW w:w="3389" w:type="dxa"/>
            <w:noWrap/>
            <w:hideMark/>
          </w:tcPr>
          <w:p w14:paraId="05BC1CC0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 xml:space="preserve">Prospective open, single-arm study of 63 hospitalized patients in an Italian hospital with severe COVID-19, followed up 1, 2, 7 and 14 days afterwards.  </w:t>
            </w:r>
          </w:p>
        </w:tc>
        <w:tc>
          <w:tcPr>
            <w:tcW w:w="1590" w:type="dxa"/>
            <w:noWrap/>
            <w:hideMark/>
          </w:tcPr>
          <w:p w14:paraId="1CA79771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1-2 (n=52) doses, 8 mg/kg IV or 324 mg s.c.</w:t>
            </w:r>
          </w:p>
        </w:tc>
        <w:tc>
          <w:tcPr>
            <w:tcW w:w="2086" w:type="dxa"/>
            <w:noWrap/>
            <w:hideMark/>
          </w:tcPr>
          <w:p w14:paraId="64698B8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1339" w:type="dxa"/>
            <w:noWrap/>
            <w:hideMark/>
          </w:tcPr>
          <w:p w14:paraId="401AFD88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14 days</w:t>
            </w:r>
          </w:p>
        </w:tc>
        <w:tc>
          <w:tcPr>
            <w:tcW w:w="1316" w:type="dxa"/>
            <w:noWrap/>
            <w:hideMark/>
          </w:tcPr>
          <w:p w14:paraId="667D206C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7/63 (11.1%)</w:t>
            </w:r>
          </w:p>
        </w:tc>
      </w:tr>
      <w:tr w:rsidR="00B23D37" w:rsidRPr="00786188" w14:paraId="6059C7B9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FD26CE9" w14:textId="77777777" w:rsidR="00B23D37" w:rsidRPr="0073671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Alattar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50</w:t>
            </w:r>
          </w:p>
        </w:tc>
        <w:tc>
          <w:tcPr>
            <w:tcW w:w="3389" w:type="dxa"/>
            <w:noWrap/>
            <w:hideMark/>
          </w:tcPr>
          <w:p w14:paraId="46A92E7D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Retrospective review of 25 patients in Qatar with severe COVID-19 receiving TCZ, followed up 1, 3, 7 and 14 days later.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68% of patients had radiological improvement by day 14.</w:t>
            </w:r>
          </w:p>
        </w:tc>
        <w:tc>
          <w:tcPr>
            <w:tcW w:w="1590" w:type="dxa"/>
            <w:noWrap/>
            <w:hideMark/>
          </w:tcPr>
          <w:p w14:paraId="63695763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 dose, median 5.7 mg/kg</w:t>
            </w:r>
          </w:p>
        </w:tc>
        <w:tc>
          <w:tcPr>
            <w:tcW w:w="2086" w:type="dxa"/>
            <w:noWrap/>
            <w:hideMark/>
          </w:tcPr>
          <w:p w14:paraId="5B4A52F8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Hydroxychloroquine, azithromycin, lopinavir/ritonavir, ribavirin, interferon</w:t>
            </w:r>
          </w:p>
        </w:tc>
        <w:tc>
          <w:tcPr>
            <w:tcW w:w="1339" w:type="dxa"/>
            <w:noWrap/>
            <w:hideMark/>
          </w:tcPr>
          <w:p w14:paraId="4D5DE469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14 days</w:t>
            </w:r>
          </w:p>
        </w:tc>
        <w:tc>
          <w:tcPr>
            <w:tcW w:w="1316" w:type="dxa"/>
            <w:noWrap/>
            <w:hideMark/>
          </w:tcPr>
          <w:p w14:paraId="261074B3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3/25 (12%)</w:t>
            </w:r>
          </w:p>
        </w:tc>
      </w:tr>
      <w:tr w:rsidR="00B23D37" w:rsidRPr="00786188" w14:paraId="36EB405E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F4FF618" w14:textId="77777777" w:rsidR="00B23D37" w:rsidRPr="0073671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Issa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51</w:t>
            </w:r>
          </w:p>
        </w:tc>
        <w:tc>
          <w:tcPr>
            <w:tcW w:w="3389" w:type="dxa"/>
            <w:noWrap/>
            <w:hideMark/>
          </w:tcPr>
          <w:p w14:paraId="69A0FA84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Retrospective analysis following 10 patients who received TCZ at a hospital in Bordeaux, France.</w:t>
            </w:r>
          </w:p>
        </w:tc>
        <w:tc>
          <w:tcPr>
            <w:tcW w:w="1590" w:type="dxa"/>
            <w:noWrap/>
            <w:hideMark/>
          </w:tcPr>
          <w:p w14:paraId="5FB78746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 dose, 8 mg/kg</w:t>
            </w:r>
          </w:p>
        </w:tc>
        <w:tc>
          <w:tcPr>
            <w:tcW w:w="2086" w:type="dxa"/>
            <w:noWrap/>
            <w:hideMark/>
          </w:tcPr>
          <w:p w14:paraId="1ECD62CC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Hydroxychloroquine, ceftriaxone</w:t>
            </w:r>
          </w:p>
        </w:tc>
        <w:tc>
          <w:tcPr>
            <w:tcW w:w="1339" w:type="dxa"/>
            <w:noWrap/>
            <w:hideMark/>
          </w:tcPr>
          <w:p w14:paraId="4853E1D5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11 days</w:t>
            </w:r>
          </w:p>
        </w:tc>
        <w:tc>
          <w:tcPr>
            <w:tcW w:w="1316" w:type="dxa"/>
            <w:noWrap/>
            <w:hideMark/>
          </w:tcPr>
          <w:p w14:paraId="550B8B4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1/10 (10%)</w:t>
            </w:r>
          </w:p>
        </w:tc>
      </w:tr>
      <w:tr w:rsidR="00B23D37" w:rsidRPr="00786188" w14:paraId="6CFAA96D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A112F9C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Quartuccio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52</w:t>
            </w:r>
          </w:p>
        </w:tc>
        <w:tc>
          <w:tcPr>
            <w:tcW w:w="3389" w:type="dxa"/>
            <w:noWrap/>
            <w:hideMark/>
          </w:tcPr>
          <w:p w14:paraId="005C6F3C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 xml:space="preserve">Retrospective study of hospitalized COVID-19 patients divided between 42 severe cases who received TCZ and 69 SOC patients. </w:t>
            </w:r>
          </w:p>
        </w:tc>
        <w:tc>
          <w:tcPr>
            <w:tcW w:w="1590" w:type="dxa"/>
            <w:noWrap/>
            <w:hideMark/>
          </w:tcPr>
          <w:p w14:paraId="7523F223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 dose, 8 mg/kg</w:t>
            </w:r>
          </w:p>
        </w:tc>
        <w:tc>
          <w:tcPr>
            <w:tcW w:w="2086" w:type="dxa"/>
            <w:noWrap/>
            <w:hideMark/>
          </w:tcPr>
          <w:p w14:paraId="7F0D2265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Methylprednisolone, antivirals (remdesivir), lopinavir/ritonavir, darunavir/cobicistat, hydroxychloroquine</w:t>
            </w:r>
          </w:p>
        </w:tc>
        <w:tc>
          <w:tcPr>
            <w:tcW w:w="1339" w:type="dxa"/>
            <w:noWrap/>
            <w:hideMark/>
          </w:tcPr>
          <w:p w14:paraId="35ED8AAE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1316" w:type="dxa"/>
            <w:noWrap/>
            <w:hideMark/>
          </w:tcPr>
          <w:p w14:paraId="74EE1724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7/41 (17.1%)</w:t>
            </w:r>
          </w:p>
        </w:tc>
      </w:tr>
      <w:tr w:rsidR="00B23D37" w:rsidRPr="00786188" w14:paraId="672EC548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742A36C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Campins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53</w:t>
            </w:r>
          </w:p>
        </w:tc>
        <w:tc>
          <w:tcPr>
            <w:tcW w:w="3389" w:type="dxa"/>
            <w:noWrap/>
            <w:hideMark/>
          </w:tcPr>
          <w:p w14:paraId="02844493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Prospective study on TCZ administration for 58 people with severe COVID-19 in a Spanish medical facility.</w:t>
            </w:r>
          </w:p>
        </w:tc>
        <w:tc>
          <w:tcPr>
            <w:tcW w:w="1590" w:type="dxa"/>
            <w:noWrap/>
            <w:hideMark/>
          </w:tcPr>
          <w:p w14:paraId="274762D1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2086" w:type="dxa"/>
            <w:noWrap/>
            <w:hideMark/>
          </w:tcPr>
          <w:p w14:paraId="78A6B43B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Corticosteroids</w:t>
            </w:r>
          </w:p>
        </w:tc>
        <w:tc>
          <w:tcPr>
            <w:tcW w:w="1339" w:type="dxa"/>
            <w:noWrap/>
            <w:hideMark/>
          </w:tcPr>
          <w:p w14:paraId="2E5D3724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28 days</w:t>
            </w:r>
          </w:p>
        </w:tc>
        <w:tc>
          <w:tcPr>
            <w:tcW w:w="1316" w:type="dxa"/>
            <w:noWrap/>
            <w:hideMark/>
          </w:tcPr>
          <w:p w14:paraId="491935B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8/58 (13.8%)</w:t>
            </w:r>
          </w:p>
        </w:tc>
      </w:tr>
      <w:tr w:rsidR="00B23D37" w:rsidRPr="00786188" w14:paraId="5B3C7DCF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8535B83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lastRenderedPageBreak/>
              <w:t>Morena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54</w:t>
            </w:r>
          </w:p>
        </w:tc>
        <w:tc>
          <w:tcPr>
            <w:tcW w:w="3389" w:type="dxa"/>
            <w:noWrap/>
            <w:hideMark/>
          </w:tcPr>
          <w:p w14:paraId="00EA69D7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Open-label prospective study of 51 patients with severe COVID-19 in an Italian hospital rece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786188">
              <w:rPr>
                <w:rFonts w:ascii="Calibri" w:eastAsia="Times New Roman" w:hAnsi="Calibri" w:cs="Calibri"/>
                <w:color w:val="000000"/>
              </w:rPr>
              <w:t>ving IV TCZ and tracked for at least 30 days or until death.</w:t>
            </w:r>
          </w:p>
        </w:tc>
        <w:tc>
          <w:tcPr>
            <w:tcW w:w="1590" w:type="dxa"/>
            <w:noWrap/>
            <w:hideMark/>
          </w:tcPr>
          <w:p w14:paraId="3BEB07E4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 xml:space="preserve">2 doses, 400mg or 8 mg/kg [12 hrs. apart] </w:t>
            </w:r>
          </w:p>
        </w:tc>
        <w:tc>
          <w:tcPr>
            <w:tcW w:w="2086" w:type="dxa"/>
            <w:noWrap/>
            <w:hideMark/>
          </w:tcPr>
          <w:p w14:paraId="429A84CE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Hydroxychloroquine, and lopinavir-ritonavir</w:t>
            </w:r>
          </w:p>
        </w:tc>
        <w:tc>
          <w:tcPr>
            <w:tcW w:w="1339" w:type="dxa"/>
            <w:noWrap/>
            <w:hideMark/>
          </w:tcPr>
          <w:p w14:paraId="3CE5A302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34 days (median)</w:t>
            </w:r>
          </w:p>
        </w:tc>
        <w:tc>
          <w:tcPr>
            <w:tcW w:w="1316" w:type="dxa"/>
            <w:noWrap/>
            <w:hideMark/>
          </w:tcPr>
          <w:p w14:paraId="50AB6B34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14/51 (27.5%)</w:t>
            </w:r>
          </w:p>
        </w:tc>
      </w:tr>
      <w:tr w:rsidR="00B23D37" w:rsidRPr="00786188" w14:paraId="293753F9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3AB358D3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Borku Uysal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55</w:t>
            </w:r>
          </w:p>
        </w:tc>
        <w:tc>
          <w:tcPr>
            <w:tcW w:w="3389" w:type="dxa"/>
            <w:noWrap/>
            <w:hideMark/>
          </w:tcPr>
          <w:p w14:paraId="0D635C57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 xml:space="preserve">Retrospective analysis of 12 </w:t>
            </w:r>
            <w:proofErr w:type="gramStart"/>
            <w:r w:rsidRPr="00786188">
              <w:rPr>
                <w:rFonts w:ascii="Calibri" w:eastAsia="Times New Roman" w:hAnsi="Calibri" w:cs="Calibri"/>
                <w:color w:val="000000"/>
              </w:rPr>
              <w:t>patients</w:t>
            </w:r>
            <w:proofErr w:type="gramEnd"/>
            <w:r w:rsidRPr="00786188">
              <w:rPr>
                <w:rFonts w:ascii="Calibri" w:eastAsia="Times New Roman" w:hAnsi="Calibri" w:cs="Calibri"/>
                <w:color w:val="000000"/>
              </w:rPr>
              <w:t xml:space="preserve"> pre-ICU who were given TCZ administration in Istanbul, Turkey.</w:t>
            </w:r>
          </w:p>
        </w:tc>
        <w:tc>
          <w:tcPr>
            <w:tcW w:w="1590" w:type="dxa"/>
            <w:noWrap/>
            <w:hideMark/>
          </w:tcPr>
          <w:p w14:paraId="37DA263C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2 doses [24 hrs. apart], 400 mg</w:t>
            </w:r>
          </w:p>
        </w:tc>
        <w:tc>
          <w:tcPr>
            <w:tcW w:w="2086" w:type="dxa"/>
            <w:noWrap/>
            <w:hideMark/>
          </w:tcPr>
          <w:p w14:paraId="46F9A137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Hydroxychloroquine, oseltamivir, az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786188">
              <w:rPr>
                <w:rFonts w:ascii="Calibri" w:eastAsia="Times New Roman" w:hAnsi="Calibri" w:cs="Calibri"/>
                <w:color w:val="000000"/>
              </w:rPr>
              <w:t>thromycin or moxifloxacin</w:t>
            </w:r>
          </w:p>
        </w:tc>
        <w:tc>
          <w:tcPr>
            <w:tcW w:w="1339" w:type="dxa"/>
            <w:noWrap/>
            <w:hideMark/>
          </w:tcPr>
          <w:p w14:paraId="71AA9784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Until discharge or death</w:t>
            </w:r>
          </w:p>
        </w:tc>
        <w:tc>
          <w:tcPr>
            <w:tcW w:w="1316" w:type="dxa"/>
            <w:noWrap/>
            <w:hideMark/>
          </w:tcPr>
          <w:p w14:paraId="3883894E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0/12 (0%)</w:t>
            </w:r>
          </w:p>
        </w:tc>
      </w:tr>
      <w:tr w:rsidR="00B23D37" w:rsidRPr="00786188" w14:paraId="42550BE4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4A9D3ABE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Strohbehn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56</w:t>
            </w:r>
          </w:p>
        </w:tc>
        <w:tc>
          <w:tcPr>
            <w:tcW w:w="3389" w:type="dxa"/>
            <w:noWrap/>
          </w:tcPr>
          <w:p w14:paraId="0CE36936" w14:textId="77777777" w:rsidR="00B23D37" w:rsidRPr="00FB653C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Phase II trial of 32 patients provided differing doses of TCZ</w:t>
            </w:r>
          </w:p>
        </w:tc>
        <w:tc>
          <w:tcPr>
            <w:tcW w:w="1590" w:type="dxa"/>
            <w:noWrap/>
          </w:tcPr>
          <w:p w14:paraId="0B47FC76" w14:textId="77777777" w:rsidR="00B23D37" w:rsidRPr="00FB653C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doses, 200 mg, 120 mg, 80 mg or 40 mg</w:t>
            </w:r>
          </w:p>
        </w:tc>
        <w:tc>
          <w:tcPr>
            <w:tcW w:w="2086" w:type="dxa"/>
            <w:noWrap/>
          </w:tcPr>
          <w:p w14:paraId="63ACE50D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specified</w:t>
            </w:r>
          </w:p>
          <w:p w14:paraId="7ADC07AC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noWrap/>
          </w:tcPr>
          <w:p w14:paraId="661F5D86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days</w:t>
            </w:r>
          </w:p>
          <w:p w14:paraId="5C53CA40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noWrap/>
          </w:tcPr>
          <w:p w14:paraId="1582DAA9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5/32 (15.6%)</w:t>
            </w:r>
          </w:p>
          <w:p w14:paraId="580B3DF7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3744EFB8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53B5F787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Patel, A. 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57</w:t>
            </w:r>
          </w:p>
        </w:tc>
        <w:tc>
          <w:tcPr>
            <w:tcW w:w="3389" w:type="dxa"/>
            <w:noWrap/>
          </w:tcPr>
          <w:p w14:paraId="06E5DDBF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study using data from a hospital in India</w:t>
            </w:r>
          </w:p>
        </w:tc>
        <w:tc>
          <w:tcPr>
            <w:tcW w:w="1590" w:type="dxa"/>
            <w:noWrap/>
          </w:tcPr>
          <w:p w14:paraId="3B78AAD9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dose 8 mg/kg up to 800 mg</w:t>
            </w:r>
          </w:p>
        </w:tc>
        <w:tc>
          <w:tcPr>
            <w:tcW w:w="2086" w:type="dxa"/>
            <w:noWrap/>
          </w:tcPr>
          <w:p w14:paraId="1F3F2518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Hydroxychloroquine, azithromycin, ceftriaxone, heparin</w:t>
            </w:r>
          </w:p>
        </w:tc>
        <w:tc>
          <w:tcPr>
            <w:tcW w:w="1339" w:type="dxa"/>
            <w:noWrap/>
          </w:tcPr>
          <w:p w14:paraId="547ED086" w14:textId="77777777" w:rsidR="00B23D37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 to 26 days</w:t>
            </w:r>
          </w:p>
          <w:p w14:paraId="2012977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noWrap/>
          </w:tcPr>
          <w:p w14:paraId="0449BAED" w14:textId="77777777" w:rsidR="00B23D37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5/20 (25%)</w:t>
            </w:r>
          </w:p>
          <w:p w14:paraId="1B94D1E5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34E81305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6AAD4227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Tomasiewicz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58</w:t>
            </w:r>
          </w:p>
          <w:p w14:paraId="13CFC9FB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</w:p>
        </w:tc>
        <w:tc>
          <w:tcPr>
            <w:tcW w:w="3389" w:type="dxa"/>
            <w:noWrap/>
          </w:tcPr>
          <w:p w14:paraId="258466AC" w14:textId="77777777" w:rsidR="00B23D37" w:rsidRPr="00FB653C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study of 28 patients who receiving TCZ at 7 medical centers in Poland</w:t>
            </w:r>
          </w:p>
        </w:tc>
        <w:tc>
          <w:tcPr>
            <w:tcW w:w="1590" w:type="dxa"/>
            <w:noWrap/>
          </w:tcPr>
          <w:p w14:paraId="636388B5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1-2 doses [8 hrs.], 800mg</w:t>
            </w:r>
          </w:p>
          <w:p w14:paraId="7C8078BE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noWrap/>
          </w:tcPr>
          <w:p w14:paraId="67A50DED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Chloroquine and lopinavir/ritonavir</w:t>
            </w:r>
          </w:p>
          <w:p w14:paraId="42143582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noWrap/>
          </w:tcPr>
          <w:p w14:paraId="1C559219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days</w:t>
            </w:r>
          </w:p>
          <w:p w14:paraId="19D282B4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noWrap/>
          </w:tcPr>
          <w:p w14:paraId="3BED0104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2/28 (7.1%)</w:t>
            </w:r>
          </w:p>
          <w:p w14:paraId="0E4CD730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51EA0537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462E84B4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Moreno-Pérez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59</w:t>
            </w:r>
          </w:p>
        </w:tc>
        <w:tc>
          <w:tcPr>
            <w:tcW w:w="3389" w:type="dxa"/>
            <w:noWrap/>
          </w:tcPr>
          <w:p w14:paraId="01A5B7B9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cohort study of 77 patients treated with TCZ at a Spanish hospital.</w:t>
            </w:r>
          </w:p>
        </w:tc>
        <w:tc>
          <w:tcPr>
            <w:tcW w:w="1590" w:type="dxa"/>
            <w:noWrap/>
          </w:tcPr>
          <w:p w14:paraId="4D85EEE0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1-3 doses, 600mg for 1st and 400mg for 2nd or 3rd</w:t>
            </w:r>
          </w:p>
        </w:tc>
        <w:tc>
          <w:tcPr>
            <w:tcW w:w="2086" w:type="dxa"/>
            <w:noWrap/>
          </w:tcPr>
          <w:p w14:paraId="2629E9D5" w14:textId="77777777" w:rsidR="00B23D37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Hydroxychloroquine, lopinavir/ritonavir, azithromycin</w:t>
            </w:r>
          </w:p>
          <w:p w14:paraId="30FC693F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noWrap/>
          </w:tcPr>
          <w:p w14:paraId="5E5E59B2" w14:textId="77777777" w:rsidR="00B23D37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 86 days</w:t>
            </w:r>
          </w:p>
          <w:p w14:paraId="64A3EA43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noWrap/>
          </w:tcPr>
          <w:p w14:paraId="7F5EFC0E" w14:textId="77777777" w:rsidR="00B23D37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10/77 (12.9%)</w:t>
            </w:r>
          </w:p>
          <w:p w14:paraId="79F89E9E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31AEE164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19D6E586" w14:textId="77777777" w:rsidR="00B23D37" w:rsidRPr="0073671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Fernández‐Ruiz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60</w:t>
            </w:r>
          </w:p>
        </w:tc>
        <w:tc>
          <w:tcPr>
            <w:tcW w:w="3389" w:type="dxa"/>
            <w:noWrap/>
          </w:tcPr>
          <w:p w14:paraId="643017A6" w14:textId="77777777" w:rsidR="00B23D37" w:rsidRPr="00FB653C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cohort study of 88 consecutive patients who received TCZ in a Spanish medical center.</w:t>
            </w:r>
          </w:p>
        </w:tc>
        <w:tc>
          <w:tcPr>
            <w:tcW w:w="1590" w:type="dxa"/>
            <w:noWrap/>
          </w:tcPr>
          <w:p w14:paraId="24083092" w14:textId="77777777" w:rsidR="00B23D37" w:rsidRPr="00FB653C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1-4 doses [12 and 24 hours], 400 or 600mg then 400mg</w:t>
            </w:r>
          </w:p>
        </w:tc>
        <w:tc>
          <w:tcPr>
            <w:tcW w:w="2086" w:type="dxa"/>
            <w:noWrap/>
          </w:tcPr>
          <w:p w14:paraId="693C0EC7" w14:textId="77777777" w:rsidR="00B23D37" w:rsidRPr="00FB653C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Hydroxychloroquine, lopinavir/ritonavir, IFN-β and corticosteroids for some, antibiotics, heparin</w:t>
            </w:r>
          </w:p>
        </w:tc>
        <w:tc>
          <w:tcPr>
            <w:tcW w:w="1339" w:type="dxa"/>
            <w:noWrap/>
          </w:tcPr>
          <w:p w14:paraId="400FDBE8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days</w:t>
            </w:r>
          </w:p>
          <w:p w14:paraId="3B743789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noWrap/>
          </w:tcPr>
          <w:p w14:paraId="74835DF4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6/88 (6.8%)</w:t>
            </w:r>
          </w:p>
          <w:p w14:paraId="6EB85C03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64B849DA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1D098E60" w14:textId="77777777" w:rsidR="00B23D37" w:rsidRPr="0073671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Knorr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61</w:t>
            </w:r>
          </w:p>
        </w:tc>
        <w:tc>
          <w:tcPr>
            <w:tcW w:w="3389" w:type="dxa"/>
            <w:noWrap/>
          </w:tcPr>
          <w:p w14:paraId="12A7B293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Retrospective analysis of TCZ-treated severe COVID-19 patients in a Philadelphia hospital </w:t>
            </w:r>
          </w:p>
        </w:tc>
        <w:tc>
          <w:tcPr>
            <w:tcW w:w="1590" w:type="dxa"/>
            <w:noWrap/>
          </w:tcPr>
          <w:p w14:paraId="467A5FA2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1-3 doses, 8 mg/kg up to 800 mg</w:t>
            </w:r>
          </w:p>
        </w:tc>
        <w:tc>
          <w:tcPr>
            <w:tcW w:w="2086" w:type="dxa"/>
            <w:noWrap/>
          </w:tcPr>
          <w:p w14:paraId="5FB3A676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Glucocorticoids and hydroxychloroquine</w:t>
            </w:r>
          </w:p>
        </w:tc>
        <w:tc>
          <w:tcPr>
            <w:tcW w:w="1339" w:type="dxa"/>
            <w:noWrap/>
          </w:tcPr>
          <w:p w14:paraId="0A05EA31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days</w:t>
            </w:r>
          </w:p>
        </w:tc>
        <w:tc>
          <w:tcPr>
            <w:tcW w:w="1316" w:type="dxa"/>
            <w:noWrap/>
          </w:tcPr>
          <w:p w14:paraId="1FF60DCE" w14:textId="77777777" w:rsidR="00B23D37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28/66 (42.4%)</w:t>
            </w:r>
          </w:p>
          <w:p w14:paraId="3D7C4D8F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314DECAD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0CF62769" w14:textId="77777777" w:rsidR="00B23D37" w:rsidRPr="000428C4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Jordan et al.</w:t>
            </w:r>
            <w:r>
              <w:rPr>
                <w:rFonts w:ascii="Calibri" w:eastAsia="Times New Roman" w:hAnsi="Calibri" w:cs="Calibri"/>
                <w:color w:val="2F5496" w:themeColor="accent1" w:themeShade="BF"/>
                <w:vertAlign w:val="superscript"/>
              </w:rPr>
              <w:t>62</w:t>
            </w:r>
          </w:p>
        </w:tc>
        <w:tc>
          <w:tcPr>
            <w:tcW w:w="3389" w:type="dxa"/>
            <w:noWrap/>
          </w:tcPr>
          <w:p w14:paraId="5A529A3F" w14:textId="77777777" w:rsidR="00B23D37" w:rsidRPr="00FB653C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Prospective cohort study of 27 consecutive patients with severe COVID-19 who received TCZ at a Los Angeles hospital</w:t>
            </w:r>
          </w:p>
        </w:tc>
        <w:tc>
          <w:tcPr>
            <w:tcW w:w="1590" w:type="dxa"/>
            <w:noWrap/>
          </w:tcPr>
          <w:p w14:paraId="2DF43815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dose, 400mg</w:t>
            </w:r>
          </w:p>
          <w:p w14:paraId="0D184544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noWrap/>
          </w:tcPr>
          <w:p w14:paraId="7725E7B0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Azithromycin and hydroxychloroquine</w:t>
            </w:r>
          </w:p>
          <w:p w14:paraId="04364EAA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noWrap/>
          </w:tcPr>
          <w:p w14:paraId="32748FD3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Until discharge or death</w:t>
            </w:r>
          </w:p>
          <w:p w14:paraId="3CBE50BE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noWrap/>
          </w:tcPr>
          <w:p w14:paraId="6C2C609D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2/27 (7.4%)</w:t>
            </w:r>
          </w:p>
          <w:p w14:paraId="7D834DD5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7D6BE9" w14:textId="77777777" w:rsidR="00B23D37" w:rsidRDefault="00B23D37" w:rsidP="00B23D37"/>
    <w:tbl>
      <w:tblPr>
        <w:tblStyle w:val="GridTable4-Accent1"/>
        <w:tblW w:w="11340" w:type="dxa"/>
        <w:tblInd w:w="-905" w:type="dxa"/>
        <w:tblLook w:val="04A0" w:firstRow="1" w:lastRow="0" w:firstColumn="1" w:lastColumn="0" w:noHBand="0" w:noVBand="1"/>
      </w:tblPr>
      <w:tblGrid>
        <w:gridCol w:w="1620"/>
        <w:gridCol w:w="2970"/>
        <w:gridCol w:w="1517"/>
        <w:gridCol w:w="1543"/>
        <w:gridCol w:w="3690"/>
      </w:tblGrid>
      <w:tr w:rsidR="00B23D37" w:rsidRPr="00786188" w14:paraId="3C0F9CA1" w14:textId="77777777" w:rsidTr="0089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07A192EE" w14:textId="77777777" w:rsidR="00B23D37" w:rsidRPr="00C20365" w:rsidRDefault="00B23D37" w:rsidP="0089616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Study</w:t>
            </w:r>
          </w:p>
        </w:tc>
        <w:tc>
          <w:tcPr>
            <w:tcW w:w="2970" w:type="dxa"/>
            <w:noWrap/>
          </w:tcPr>
          <w:p w14:paraId="5C8E5A4C" w14:textId="77777777" w:rsidR="00B23D37" w:rsidRPr="00C20365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20365">
              <w:rPr>
                <w:rFonts w:ascii="Calibri" w:eastAsia="Times New Roman" w:hAnsi="Calibri" w:cs="Calibri"/>
              </w:rPr>
              <w:t>Advers</w:t>
            </w:r>
            <w:r>
              <w:rPr>
                <w:rFonts w:ascii="Calibri" w:eastAsia="Times New Roman" w:hAnsi="Calibri" w:cs="Calibri"/>
              </w:rPr>
              <w:t>e Effects</w:t>
            </w:r>
          </w:p>
        </w:tc>
        <w:tc>
          <w:tcPr>
            <w:tcW w:w="1710" w:type="dxa"/>
          </w:tcPr>
          <w:p w14:paraId="5C2B0B65" w14:textId="77777777" w:rsidR="00B23D37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% ICU Admission</w:t>
            </w:r>
          </w:p>
        </w:tc>
        <w:tc>
          <w:tcPr>
            <w:tcW w:w="1350" w:type="dxa"/>
            <w:noWrap/>
          </w:tcPr>
          <w:p w14:paraId="7A611035" w14:textId="77777777" w:rsidR="00B23D37" w:rsidRPr="00C20365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Mean/Median Age</w:t>
            </w:r>
          </w:p>
        </w:tc>
        <w:tc>
          <w:tcPr>
            <w:tcW w:w="3690" w:type="dxa"/>
            <w:noWrap/>
          </w:tcPr>
          <w:p w14:paraId="78B7BE62" w14:textId="77777777" w:rsidR="00B23D37" w:rsidRPr="00C20365" w:rsidRDefault="00B23D37" w:rsidP="00896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Sex and Clinical Characteristics</w:t>
            </w:r>
          </w:p>
        </w:tc>
      </w:tr>
      <w:tr w:rsidR="00B23D37" w:rsidRPr="00786188" w14:paraId="26433860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3DF89D09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Luo et al.</w:t>
            </w:r>
          </w:p>
        </w:tc>
        <w:tc>
          <w:tcPr>
            <w:tcW w:w="2970" w:type="dxa"/>
            <w:noWrap/>
            <w:hideMark/>
          </w:tcPr>
          <w:p w14:paraId="05AD463A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None found</w:t>
            </w:r>
          </w:p>
        </w:tc>
        <w:tc>
          <w:tcPr>
            <w:tcW w:w="1710" w:type="dxa"/>
          </w:tcPr>
          <w:p w14:paraId="636BDE62" w14:textId="77777777" w:rsidR="00B23D37" w:rsidRPr="00786188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noWrap/>
            <w:hideMark/>
          </w:tcPr>
          <w:p w14:paraId="3C3F421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73 (median)</w:t>
            </w:r>
          </w:p>
        </w:tc>
        <w:tc>
          <w:tcPr>
            <w:tcW w:w="3690" w:type="dxa"/>
            <w:noWrap/>
            <w:hideMark/>
          </w:tcPr>
          <w:p w14:paraId="61D79385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80% male; 13% moderately ill, 40% seriously ill, 47% critically ill</w:t>
            </w:r>
          </w:p>
        </w:tc>
      </w:tr>
      <w:tr w:rsidR="00B23D37" w:rsidRPr="00786188" w14:paraId="26406D16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7BD6734B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E84B40">
              <w:rPr>
                <w:rFonts w:ascii="Calibri" w:eastAsia="Times New Roman" w:hAnsi="Calibri" w:cs="Calibri"/>
                <w:color w:val="2F5496" w:themeColor="accent1" w:themeShade="BF"/>
              </w:rPr>
              <w:t>Toniati et al.</w:t>
            </w:r>
            <w:r w:rsidRPr="00E84B40">
              <w:rPr>
                <w:rFonts w:ascii="Calibri" w:eastAsia="Times New Roman" w:hAnsi="Calibri" w:cs="Calibri"/>
                <w:color w:val="2F5496" w:themeColor="accent1" w:themeShade="BF"/>
              </w:rPr>
              <w:tab/>
            </w:r>
            <w:r w:rsidRPr="00E84B40">
              <w:rPr>
                <w:rFonts w:ascii="Calibri" w:eastAsia="Times New Roman" w:hAnsi="Calibri" w:cs="Calibri"/>
                <w:color w:val="2F5496" w:themeColor="accent1" w:themeShade="BF"/>
              </w:rPr>
              <w:tab/>
            </w:r>
          </w:p>
        </w:tc>
        <w:tc>
          <w:tcPr>
            <w:tcW w:w="2970" w:type="dxa"/>
            <w:noWrap/>
          </w:tcPr>
          <w:p w14:paraId="6D11FBD4" w14:textId="77777777" w:rsidR="00B23D37" w:rsidRPr="00E84B40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4B40">
              <w:rPr>
                <w:rFonts w:ascii="Calibri" w:eastAsia="Times New Roman" w:hAnsi="Calibri" w:cs="Calibri"/>
              </w:rPr>
              <w:t>2 cases of septic shock</w:t>
            </w:r>
            <w:r w:rsidRPr="00E84B4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710" w:type="dxa"/>
          </w:tcPr>
          <w:p w14:paraId="65F6F052" w14:textId="77777777" w:rsidR="00B23D37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4D6E60D1" w14:textId="77777777" w:rsidR="00B23D37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1E850267" w14:textId="77777777" w:rsidR="00B23D37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 (25%)</w:t>
            </w:r>
          </w:p>
        </w:tc>
        <w:tc>
          <w:tcPr>
            <w:tcW w:w="1350" w:type="dxa"/>
            <w:noWrap/>
          </w:tcPr>
          <w:p w14:paraId="6FB9E00A" w14:textId="77777777" w:rsidR="00B23D37" w:rsidRPr="00E84B40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 (median)</w:t>
            </w:r>
          </w:p>
        </w:tc>
        <w:tc>
          <w:tcPr>
            <w:tcW w:w="3690" w:type="dxa"/>
            <w:noWrap/>
          </w:tcPr>
          <w:p w14:paraId="48D4C96E" w14:textId="77777777" w:rsidR="00B23D37" w:rsidRPr="00E84B40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4B40">
              <w:rPr>
                <w:rFonts w:ascii="Calibri" w:eastAsia="Times New Roman" w:hAnsi="Calibri" w:cs="Calibri"/>
              </w:rPr>
              <w:t>88% male; 43% in the ICU, other 57% had O2 demands</w:t>
            </w:r>
          </w:p>
        </w:tc>
      </w:tr>
      <w:tr w:rsidR="00B23D37" w:rsidRPr="00786188" w14:paraId="0A2D7BD4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0A59C98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Xu et al.</w:t>
            </w:r>
          </w:p>
        </w:tc>
        <w:tc>
          <w:tcPr>
            <w:tcW w:w="2970" w:type="dxa"/>
            <w:noWrap/>
            <w:hideMark/>
          </w:tcPr>
          <w:p w14:paraId="3C751E27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710" w:type="dxa"/>
          </w:tcPr>
          <w:p w14:paraId="74129B14" w14:textId="77777777" w:rsidR="00B23D37" w:rsidRPr="00786188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new admissions</w:t>
            </w:r>
          </w:p>
        </w:tc>
        <w:tc>
          <w:tcPr>
            <w:tcW w:w="1350" w:type="dxa"/>
            <w:noWrap/>
            <w:hideMark/>
          </w:tcPr>
          <w:p w14:paraId="08D4311A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56.8 (mean)</w:t>
            </w:r>
          </w:p>
        </w:tc>
        <w:tc>
          <w:tcPr>
            <w:tcW w:w="3690" w:type="dxa"/>
            <w:noWrap/>
            <w:hideMark/>
          </w:tcPr>
          <w:p w14:paraId="4F6C560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85.7% male; All 20 patients required O2 therapy, 5% non-invasive ventilation, 10% MV</w:t>
            </w:r>
          </w:p>
        </w:tc>
      </w:tr>
      <w:tr w:rsidR="00B23D37" w:rsidRPr="00786188" w14:paraId="6A52E9CE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DF41E5A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lastRenderedPageBreak/>
              <w:t>Price et al.</w:t>
            </w:r>
          </w:p>
        </w:tc>
        <w:tc>
          <w:tcPr>
            <w:tcW w:w="2970" w:type="dxa"/>
            <w:noWrap/>
            <w:hideMark/>
          </w:tcPr>
          <w:p w14:paraId="693D2E39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Few adverse events</w:t>
            </w:r>
            <w:r>
              <w:rPr>
                <w:rFonts w:ascii="Calibri" w:eastAsia="Times New Roman" w:hAnsi="Calibri" w:cs="Calibri"/>
                <w:color w:val="000000"/>
              </w:rPr>
              <w:t>. 4% had neutropenia, 3% experienced bacteremia.</w:t>
            </w:r>
          </w:p>
        </w:tc>
        <w:tc>
          <w:tcPr>
            <w:tcW w:w="1710" w:type="dxa"/>
          </w:tcPr>
          <w:p w14:paraId="6B231E24" w14:textId="77777777" w:rsidR="00B23D37" w:rsidRPr="00786188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7/135 (5.2%) for non-severe cases</w:t>
            </w:r>
          </w:p>
        </w:tc>
        <w:tc>
          <w:tcPr>
            <w:tcW w:w="1350" w:type="dxa"/>
            <w:noWrap/>
            <w:hideMark/>
          </w:tcPr>
          <w:p w14:paraId="3D483853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64 (median)</w:t>
            </w:r>
          </w:p>
        </w:tc>
        <w:tc>
          <w:tcPr>
            <w:tcW w:w="3690" w:type="dxa"/>
            <w:noWrap/>
            <w:hideMark/>
          </w:tcPr>
          <w:p w14:paraId="16A59BB3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53% male; 90% severe</w:t>
            </w:r>
          </w:p>
        </w:tc>
      </w:tr>
      <w:tr w:rsidR="00B23D37" w:rsidRPr="00786188" w14:paraId="5E5F1BB3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9E0847E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Sciascia et al.</w:t>
            </w:r>
          </w:p>
        </w:tc>
        <w:tc>
          <w:tcPr>
            <w:tcW w:w="2970" w:type="dxa"/>
            <w:noWrap/>
            <w:hideMark/>
          </w:tcPr>
          <w:p w14:paraId="05478488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None reported</w:t>
            </w:r>
          </w:p>
        </w:tc>
        <w:tc>
          <w:tcPr>
            <w:tcW w:w="1710" w:type="dxa"/>
          </w:tcPr>
          <w:p w14:paraId="23B41612" w14:textId="77777777" w:rsidR="00B23D37" w:rsidRPr="00786188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5/63 (7.9%)</w:t>
            </w:r>
          </w:p>
        </w:tc>
        <w:tc>
          <w:tcPr>
            <w:tcW w:w="1350" w:type="dxa"/>
            <w:noWrap/>
            <w:hideMark/>
          </w:tcPr>
          <w:p w14:paraId="4EBF8103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62 (mean)</w:t>
            </w:r>
          </w:p>
        </w:tc>
        <w:tc>
          <w:tcPr>
            <w:tcW w:w="3690" w:type="dxa"/>
            <w:noWrap/>
            <w:hideMark/>
          </w:tcPr>
          <w:p w14:paraId="23C52D14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88.8% male; only included patients with pathological pulmonary involvement and/or abnormal inflammatory markers</w:t>
            </w:r>
          </w:p>
        </w:tc>
      </w:tr>
      <w:tr w:rsidR="00B23D37" w:rsidRPr="00786188" w14:paraId="45106B22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1B68E27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Alattar et al.</w:t>
            </w:r>
          </w:p>
        </w:tc>
        <w:tc>
          <w:tcPr>
            <w:tcW w:w="2970" w:type="dxa"/>
            <w:noWrap/>
            <w:hideMark/>
          </w:tcPr>
          <w:p w14:paraId="537825C4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92% experienced at least one adverse event, but not necessarily from TCZ</w:t>
            </w:r>
          </w:p>
        </w:tc>
        <w:tc>
          <w:tcPr>
            <w:tcW w:w="1710" w:type="dxa"/>
          </w:tcPr>
          <w:p w14:paraId="434DA181" w14:textId="77777777" w:rsidR="00B23D37" w:rsidRPr="00786188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80% patients initially in ICU</w:t>
            </w:r>
          </w:p>
        </w:tc>
        <w:tc>
          <w:tcPr>
            <w:tcW w:w="1350" w:type="dxa"/>
            <w:noWrap/>
            <w:hideMark/>
          </w:tcPr>
          <w:p w14:paraId="14399F6B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58 (median)</w:t>
            </w:r>
          </w:p>
        </w:tc>
        <w:tc>
          <w:tcPr>
            <w:tcW w:w="3690" w:type="dxa"/>
            <w:noWrap/>
            <w:hideMark/>
          </w:tcPr>
          <w:p w14:paraId="01A57F47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92% male; 84% on ventilation upon initiation</w:t>
            </w:r>
          </w:p>
        </w:tc>
      </w:tr>
      <w:tr w:rsidR="00B23D37" w:rsidRPr="00786188" w14:paraId="2766E0FC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1EAD4DE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Issa et al.</w:t>
            </w:r>
          </w:p>
        </w:tc>
        <w:tc>
          <w:tcPr>
            <w:tcW w:w="2970" w:type="dxa"/>
            <w:noWrap/>
            <w:hideMark/>
          </w:tcPr>
          <w:p w14:paraId="48F4FB9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 adverse effects</w:t>
            </w:r>
          </w:p>
        </w:tc>
        <w:tc>
          <w:tcPr>
            <w:tcW w:w="1710" w:type="dxa"/>
          </w:tcPr>
          <w:p w14:paraId="79650A33" w14:textId="77777777" w:rsidR="00B23D37" w:rsidRPr="00786188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patients initially in ICU</w:t>
            </w:r>
          </w:p>
        </w:tc>
        <w:tc>
          <w:tcPr>
            <w:tcW w:w="1350" w:type="dxa"/>
            <w:noWrap/>
            <w:hideMark/>
          </w:tcPr>
          <w:p w14:paraId="34453CC4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66 (median)</w:t>
            </w:r>
          </w:p>
        </w:tc>
        <w:tc>
          <w:tcPr>
            <w:tcW w:w="3690" w:type="dxa"/>
            <w:noWrap/>
            <w:hideMark/>
          </w:tcPr>
          <w:p w14:paraId="5F38F6F4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100% male; all admitted to the ICU</w:t>
            </w:r>
          </w:p>
        </w:tc>
      </w:tr>
      <w:tr w:rsidR="00B23D37" w:rsidRPr="00786188" w14:paraId="596F68CE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30D1DE11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Quartuccio et al.</w:t>
            </w:r>
          </w:p>
        </w:tc>
        <w:tc>
          <w:tcPr>
            <w:tcW w:w="2970" w:type="dxa"/>
            <w:noWrap/>
            <w:hideMark/>
          </w:tcPr>
          <w:p w14:paraId="7E4106B1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Some bacterial superinfections</w:t>
            </w:r>
          </w:p>
        </w:tc>
        <w:tc>
          <w:tcPr>
            <w:tcW w:w="1710" w:type="dxa"/>
          </w:tcPr>
          <w:p w14:paraId="1FAAB04F" w14:textId="77777777" w:rsidR="00B23D37" w:rsidRPr="00786188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ICU admissions not reported</w:t>
            </w:r>
          </w:p>
        </w:tc>
        <w:tc>
          <w:tcPr>
            <w:tcW w:w="1350" w:type="dxa"/>
            <w:noWrap/>
            <w:hideMark/>
          </w:tcPr>
          <w:p w14:paraId="723A91D9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62.4 (mean)</w:t>
            </w:r>
          </w:p>
        </w:tc>
        <w:tc>
          <w:tcPr>
            <w:tcW w:w="3690" w:type="dxa"/>
            <w:noWrap/>
            <w:hideMark/>
          </w:tcPr>
          <w:p w14:paraId="4BFA3927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69.4% male; 57% of patients in the ICU before TCZ</w:t>
            </w:r>
          </w:p>
        </w:tc>
      </w:tr>
      <w:tr w:rsidR="00B23D37" w:rsidRPr="00786188" w14:paraId="11649B06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214864C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Campins et al.</w:t>
            </w:r>
          </w:p>
        </w:tc>
        <w:tc>
          <w:tcPr>
            <w:tcW w:w="2970" w:type="dxa"/>
            <w:noWrap/>
            <w:hideMark/>
          </w:tcPr>
          <w:p w14:paraId="0870D4D3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None reported</w:t>
            </w:r>
          </w:p>
        </w:tc>
        <w:tc>
          <w:tcPr>
            <w:tcW w:w="1710" w:type="dxa"/>
          </w:tcPr>
          <w:p w14:paraId="6BA15381" w14:textId="77777777" w:rsidR="00B23D37" w:rsidRPr="00786188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19/58 (32.4%)</w:t>
            </w:r>
          </w:p>
        </w:tc>
        <w:tc>
          <w:tcPr>
            <w:tcW w:w="1350" w:type="dxa"/>
            <w:noWrap/>
            <w:hideMark/>
          </w:tcPr>
          <w:p w14:paraId="270D6630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60.6 (mean)</w:t>
            </w:r>
          </w:p>
        </w:tc>
        <w:tc>
          <w:tcPr>
            <w:tcW w:w="3690" w:type="dxa"/>
            <w:noWrap/>
            <w:hideMark/>
          </w:tcPr>
          <w:p w14:paraId="48160FAF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72.4% male; severe, pre-ICU</w:t>
            </w:r>
          </w:p>
        </w:tc>
      </w:tr>
      <w:tr w:rsidR="00B23D37" w:rsidRPr="00786188" w14:paraId="1036CA14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B9BDE9D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Morena et al.</w:t>
            </w:r>
          </w:p>
        </w:tc>
        <w:tc>
          <w:tcPr>
            <w:tcW w:w="2970" w:type="dxa"/>
            <w:noWrap/>
            <w:hideMark/>
          </w:tcPr>
          <w:p w14:paraId="05B81809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Most frequent were incr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86188">
              <w:rPr>
                <w:rFonts w:ascii="Calibri" w:eastAsia="Times New Roman" w:hAnsi="Calibri" w:cs="Calibri"/>
                <w:color w:val="000000"/>
              </w:rPr>
              <w:t>ased hepatic enzymes, thrombocytopenia and bacterial/fungal infections</w:t>
            </w:r>
          </w:p>
        </w:tc>
        <w:tc>
          <w:tcPr>
            <w:tcW w:w="1710" w:type="dxa"/>
          </w:tcPr>
          <w:p w14:paraId="027ED36F" w14:textId="77777777" w:rsidR="00B23D37" w:rsidRPr="00786188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17/77 (33%) “worsening” condition</w:t>
            </w:r>
          </w:p>
        </w:tc>
        <w:tc>
          <w:tcPr>
            <w:tcW w:w="1350" w:type="dxa"/>
            <w:noWrap/>
            <w:hideMark/>
          </w:tcPr>
          <w:p w14:paraId="56820BB6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60 (median)</w:t>
            </w:r>
          </w:p>
        </w:tc>
        <w:tc>
          <w:tcPr>
            <w:tcW w:w="3690" w:type="dxa"/>
            <w:noWrap/>
            <w:hideMark/>
          </w:tcPr>
          <w:p w14:paraId="56081C69" w14:textId="77777777" w:rsidR="00B23D37" w:rsidRPr="00786188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78.4% male; 88% on high-flow O2, 11.7% on invasive ventilation, 85% "severe," 12% "critical"</w:t>
            </w:r>
          </w:p>
        </w:tc>
      </w:tr>
      <w:tr w:rsidR="00B23D37" w:rsidRPr="00786188" w14:paraId="4375CA89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0F32441" w14:textId="77777777" w:rsidR="00B23D37" w:rsidRPr="00786188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786188">
              <w:rPr>
                <w:rFonts w:ascii="Calibri" w:eastAsia="Times New Roman" w:hAnsi="Calibri" w:cs="Calibri"/>
                <w:color w:val="2F5496" w:themeColor="accent1" w:themeShade="BF"/>
              </w:rPr>
              <w:t>Borku Uysal et al.</w:t>
            </w:r>
          </w:p>
        </w:tc>
        <w:tc>
          <w:tcPr>
            <w:tcW w:w="2970" w:type="dxa"/>
            <w:noWrap/>
            <w:hideMark/>
          </w:tcPr>
          <w:p w14:paraId="2AC293ED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None found</w:t>
            </w:r>
          </w:p>
        </w:tc>
        <w:tc>
          <w:tcPr>
            <w:tcW w:w="1710" w:type="dxa"/>
          </w:tcPr>
          <w:p w14:paraId="05B1BB6D" w14:textId="77777777" w:rsidR="00B23D37" w:rsidRPr="00786188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2/12 (16.7%)</w:t>
            </w:r>
          </w:p>
        </w:tc>
        <w:tc>
          <w:tcPr>
            <w:tcW w:w="1350" w:type="dxa"/>
            <w:noWrap/>
            <w:hideMark/>
          </w:tcPr>
          <w:p w14:paraId="0E6FED49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65.83 (mean)</w:t>
            </w:r>
          </w:p>
        </w:tc>
        <w:tc>
          <w:tcPr>
            <w:tcW w:w="3690" w:type="dxa"/>
            <w:noWrap/>
            <w:hideMark/>
          </w:tcPr>
          <w:p w14:paraId="76EED532" w14:textId="77777777" w:rsidR="00B23D37" w:rsidRPr="00786188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86188">
              <w:rPr>
                <w:rFonts w:ascii="Calibri" w:eastAsia="Times New Roman" w:hAnsi="Calibri" w:cs="Calibri"/>
                <w:color w:val="000000"/>
              </w:rPr>
              <w:t>50% male; Cough, fever, 67% dyspnea</w:t>
            </w:r>
          </w:p>
        </w:tc>
      </w:tr>
      <w:tr w:rsidR="00B23D37" w:rsidRPr="00786188" w14:paraId="50830F5B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18E7CEDA" w14:textId="77777777" w:rsidR="00B23D37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Strohbehn et al.</w:t>
            </w:r>
          </w:p>
        </w:tc>
        <w:tc>
          <w:tcPr>
            <w:tcW w:w="2970" w:type="dxa"/>
            <w:noWrap/>
          </w:tcPr>
          <w:p w14:paraId="0FF735F3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 reported</w:t>
            </w:r>
          </w:p>
          <w:p w14:paraId="19DD59F6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5BD0EC10" w14:textId="77777777" w:rsidR="00B23D37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ICU admission data not reported</w:t>
            </w:r>
          </w:p>
        </w:tc>
        <w:tc>
          <w:tcPr>
            <w:tcW w:w="1350" w:type="dxa"/>
            <w:noWrap/>
          </w:tcPr>
          <w:p w14:paraId="78FCF667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 (mean)</w:t>
            </w:r>
          </w:p>
          <w:p w14:paraId="1B85D065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0" w:type="dxa"/>
            <w:noWrap/>
          </w:tcPr>
          <w:p w14:paraId="779879A5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 male; severe</w:t>
            </w:r>
          </w:p>
          <w:p w14:paraId="2F7FAFAB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29901116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4EF106E6" w14:textId="77777777" w:rsidR="00B23D37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 xml:space="preserve">Patel, A.  et al. </w:t>
            </w:r>
          </w:p>
        </w:tc>
        <w:tc>
          <w:tcPr>
            <w:tcW w:w="2970" w:type="dxa"/>
            <w:noWrap/>
          </w:tcPr>
          <w:p w14:paraId="0FA29487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adverse effects</w:t>
            </w:r>
          </w:p>
        </w:tc>
        <w:tc>
          <w:tcPr>
            <w:tcW w:w="1710" w:type="dxa"/>
          </w:tcPr>
          <w:p w14:paraId="6B28B2E4" w14:textId="77777777" w:rsidR="00B23D37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11/20 (55%)</w:t>
            </w:r>
          </w:p>
        </w:tc>
        <w:tc>
          <w:tcPr>
            <w:tcW w:w="1350" w:type="dxa"/>
            <w:noWrap/>
          </w:tcPr>
          <w:p w14:paraId="1363C958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(mean)</w:t>
            </w:r>
          </w:p>
        </w:tc>
        <w:tc>
          <w:tcPr>
            <w:tcW w:w="3690" w:type="dxa"/>
            <w:noWrap/>
          </w:tcPr>
          <w:p w14:paraId="762FF9D3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 male</w:t>
            </w:r>
          </w:p>
        </w:tc>
      </w:tr>
      <w:tr w:rsidR="00B23D37" w:rsidRPr="00786188" w14:paraId="1AFCCC8B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16EC2F2B" w14:textId="77777777" w:rsidR="00B23D37" w:rsidRPr="00FB653C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Tomasiewicz et al.</w:t>
            </w:r>
          </w:p>
          <w:p w14:paraId="7DDA449B" w14:textId="77777777" w:rsidR="00B23D37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</w:p>
        </w:tc>
        <w:tc>
          <w:tcPr>
            <w:tcW w:w="2970" w:type="dxa"/>
            <w:noWrap/>
          </w:tcPr>
          <w:p w14:paraId="3986F328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Slight ALT increase, no serious effects</w:t>
            </w:r>
          </w:p>
          <w:p w14:paraId="092B2152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56AA0DD2" w14:textId="77777777" w:rsidR="00B23D37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3/23 (13%)</w:t>
            </w:r>
          </w:p>
        </w:tc>
        <w:tc>
          <w:tcPr>
            <w:tcW w:w="1350" w:type="dxa"/>
            <w:noWrap/>
          </w:tcPr>
          <w:p w14:paraId="54E1129F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60.7 (mean)</w:t>
            </w:r>
          </w:p>
          <w:p w14:paraId="599435BA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0" w:type="dxa"/>
            <w:noWrap/>
          </w:tcPr>
          <w:p w14:paraId="25DE03DA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67.9% male; oxygen dependency</w:t>
            </w:r>
          </w:p>
          <w:p w14:paraId="51468F85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3EBD8CF3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6F3FA132" w14:textId="77777777" w:rsidR="00B23D37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 xml:space="preserve">Moreno-Pérez et al. </w:t>
            </w:r>
          </w:p>
        </w:tc>
        <w:tc>
          <w:tcPr>
            <w:tcW w:w="2970" w:type="dxa"/>
            <w:noWrap/>
          </w:tcPr>
          <w:p w14:paraId="7717FDE9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Serious bacteremia in 14.2% of patients</w:t>
            </w:r>
          </w:p>
        </w:tc>
        <w:tc>
          <w:tcPr>
            <w:tcW w:w="1710" w:type="dxa"/>
          </w:tcPr>
          <w:p w14:paraId="6E74D27F" w14:textId="77777777" w:rsidR="00B23D37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42/88 (54.5%)</w:t>
            </w:r>
          </w:p>
        </w:tc>
        <w:tc>
          <w:tcPr>
            <w:tcW w:w="1350" w:type="dxa"/>
            <w:noWrap/>
          </w:tcPr>
          <w:p w14:paraId="12BC3FE9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(median)</w:t>
            </w:r>
          </w:p>
        </w:tc>
        <w:tc>
          <w:tcPr>
            <w:tcW w:w="3690" w:type="dxa"/>
            <w:noWrap/>
          </w:tcPr>
          <w:p w14:paraId="5AEC852A" w14:textId="77777777" w:rsidR="00B23D37" w:rsidRPr="00FB653C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64.9% male; High level of care and O2 requirements at baseline</w:t>
            </w:r>
          </w:p>
        </w:tc>
      </w:tr>
      <w:tr w:rsidR="00B23D37" w:rsidRPr="00786188" w14:paraId="751E20D4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08D52750" w14:textId="77777777" w:rsidR="00B23D37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 xml:space="preserve">Fernández‐Ruiz et al. </w:t>
            </w:r>
          </w:p>
        </w:tc>
        <w:tc>
          <w:tcPr>
            <w:tcW w:w="2970" w:type="dxa"/>
            <w:noWrap/>
          </w:tcPr>
          <w:p w14:paraId="7451E427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attributable adverse events</w:t>
            </w:r>
          </w:p>
          <w:p w14:paraId="04AA9FF0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20C65FBB" w14:textId="77777777" w:rsidR="00B23D37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Roughly 20%</w:t>
            </w:r>
          </w:p>
        </w:tc>
        <w:tc>
          <w:tcPr>
            <w:tcW w:w="1350" w:type="dxa"/>
            <w:noWrap/>
          </w:tcPr>
          <w:p w14:paraId="75533C7B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46.8 (mean)</w:t>
            </w:r>
          </w:p>
          <w:p w14:paraId="154439B1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0" w:type="dxa"/>
            <w:noWrap/>
          </w:tcPr>
          <w:p w14:paraId="7565EA47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65.9% male; oxygen support</w:t>
            </w:r>
          </w:p>
          <w:p w14:paraId="61D9A1B9" w14:textId="77777777" w:rsidR="00B23D37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D37" w:rsidRPr="00786188" w14:paraId="2E722AC1" w14:textId="77777777" w:rsidTr="0089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1FDE5111" w14:textId="77777777" w:rsidR="00B23D37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Knorr et al.</w:t>
            </w:r>
          </w:p>
        </w:tc>
        <w:tc>
          <w:tcPr>
            <w:tcW w:w="2970" w:type="dxa"/>
            <w:noWrap/>
          </w:tcPr>
          <w:p w14:paraId="2ED8A9F5" w14:textId="77777777" w:rsidR="00B23D37" w:rsidRPr="007E10E4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 not assess</w:t>
            </w:r>
          </w:p>
        </w:tc>
        <w:tc>
          <w:tcPr>
            <w:tcW w:w="1710" w:type="dxa"/>
          </w:tcPr>
          <w:p w14:paraId="48FCD8FF" w14:textId="77777777" w:rsidR="00B23D37" w:rsidRDefault="00B23D37" w:rsidP="00896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3/17 (17.6%)</w:t>
            </w:r>
          </w:p>
        </w:tc>
        <w:tc>
          <w:tcPr>
            <w:tcW w:w="1350" w:type="dxa"/>
            <w:noWrap/>
          </w:tcPr>
          <w:p w14:paraId="271D82EF" w14:textId="77777777" w:rsidR="00B23D37" w:rsidRPr="007E10E4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(median)</w:t>
            </w:r>
          </w:p>
        </w:tc>
        <w:tc>
          <w:tcPr>
            <w:tcW w:w="3690" w:type="dxa"/>
            <w:noWrap/>
          </w:tcPr>
          <w:p w14:paraId="3234CB90" w14:textId="77777777" w:rsidR="00B23D37" w:rsidRPr="007E10E4" w:rsidRDefault="00B23D37" w:rsidP="0089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62.1% male; 27.3% on MV</w:t>
            </w:r>
          </w:p>
        </w:tc>
      </w:tr>
      <w:tr w:rsidR="00B23D37" w:rsidRPr="00786188" w14:paraId="23A06C51" w14:textId="77777777" w:rsidTr="008961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6CDF06FA" w14:textId="77777777" w:rsidR="00B23D37" w:rsidRDefault="00B23D37" w:rsidP="00896162">
            <w:pPr>
              <w:rPr>
                <w:rFonts w:ascii="Calibri" w:eastAsia="Times New Roman" w:hAnsi="Calibri" w:cs="Calibri"/>
                <w:color w:val="2F5496" w:themeColor="accent1" w:themeShade="BF"/>
              </w:rPr>
            </w:pPr>
            <w:r w:rsidRPr="00FB653C">
              <w:rPr>
                <w:rFonts w:ascii="Calibri" w:eastAsia="Times New Roman" w:hAnsi="Calibri" w:cs="Calibri"/>
                <w:color w:val="2F5496" w:themeColor="accent1" w:themeShade="BF"/>
              </w:rPr>
              <w:t>Jordan et al.</w:t>
            </w:r>
          </w:p>
        </w:tc>
        <w:tc>
          <w:tcPr>
            <w:tcW w:w="2970" w:type="dxa"/>
            <w:noWrap/>
          </w:tcPr>
          <w:p w14:paraId="431B8EFE" w14:textId="77777777" w:rsidR="00B23D37" w:rsidRPr="007E10E4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serious adverse events</w:t>
            </w:r>
          </w:p>
        </w:tc>
        <w:tc>
          <w:tcPr>
            <w:tcW w:w="1710" w:type="dxa"/>
          </w:tcPr>
          <w:p w14:paraId="13498EF4" w14:textId="77777777" w:rsidR="00B23D37" w:rsidRDefault="00B23D37" w:rsidP="00896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 patients initially in ICU</w:t>
            </w:r>
          </w:p>
        </w:tc>
        <w:tc>
          <w:tcPr>
            <w:tcW w:w="1350" w:type="dxa"/>
            <w:noWrap/>
          </w:tcPr>
          <w:p w14:paraId="07FDD09B" w14:textId="77777777" w:rsidR="00B23D37" w:rsidRPr="007E10E4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 (median)</w:t>
            </w:r>
          </w:p>
        </w:tc>
        <w:tc>
          <w:tcPr>
            <w:tcW w:w="3690" w:type="dxa"/>
            <w:noWrap/>
          </w:tcPr>
          <w:p w14:paraId="2F3872FF" w14:textId="77777777" w:rsidR="00B23D37" w:rsidRPr="007E10E4" w:rsidRDefault="00B23D37" w:rsidP="0089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 male; 77.7% on MV</w:t>
            </w:r>
          </w:p>
        </w:tc>
      </w:tr>
      <w:bookmarkEnd w:id="0"/>
    </w:tbl>
    <w:p w14:paraId="37EDD5D8" w14:textId="77777777" w:rsidR="00414531" w:rsidRDefault="00414531" w:rsidP="00F943E3"/>
    <w:p w14:paraId="1FA26736" w14:textId="77777777" w:rsidR="00F943E3" w:rsidRDefault="00F943E3"/>
    <w:sectPr w:rsidR="00F9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E3"/>
    <w:rsid w:val="00414531"/>
    <w:rsid w:val="00B23D37"/>
    <w:rsid w:val="00F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AF5C"/>
  <w15:chartTrackingRefBased/>
  <w15:docId w15:val="{AAB03771-168E-4341-9239-1E75A81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943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Kaye</dc:creator>
  <cp:keywords/>
  <dc:description/>
  <cp:lastModifiedBy>Avi Kaye</cp:lastModifiedBy>
  <cp:revision>3</cp:revision>
  <dcterms:created xsi:type="dcterms:W3CDTF">2020-09-02T18:23:00Z</dcterms:created>
  <dcterms:modified xsi:type="dcterms:W3CDTF">2020-09-28T15:12:00Z</dcterms:modified>
</cp:coreProperties>
</file>