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21C6B" w14:textId="594D3E76" w:rsidR="00AD1ABB" w:rsidRPr="00DA5EBF" w:rsidRDefault="00AD1ABB" w:rsidP="00AD1ABB">
      <w:pPr>
        <w:rPr>
          <w:sz w:val="24"/>
          <w:szCs w:val="24"/>
        </w:rPr>
      </w:pPr>
      <w:r w:rsidRPr="00DA5EBF">
        <w:rPr>
          <w:b/>
          <w:bCs/>
          <w:sz w:val="24"/>
          <w:szCs w:val="24"/>
        </w:rPr>
        <w:t xml:space="preserve">Supplementary Table 4: </w:t>
      </w:r>
      <w:r w:rsidRPr="00DA5EBF">
        <w:rPr>
          <w:sz w:val="24"/>
          <w:szCs w:val="24"/>
        </w:rPr>
        <w:t>Additional</w:t>
      </w:r>
      <w:r w:rsidR="00DA5EBF">
        <w:rPr>
          <w:sz w:val="24"/>
          <w:szCs w:val="24"/>
        </w:rPr>
        <w:t xml:space="preserve"> S</w:t>
      </w:r>
      <w:r w:rsidRPr="00DA5EBF">
        <w:rPr>
          <w:sz w:val="24"/>
          <w:szCs w:val="24"/>
        </w:rPr>
        <w:t xml:space="preserve">hortcomings of </w:t>
      </w:r>
      <w:r w:rsidR="00DA5EBF">
        <w:rPr>
          <w:sz w:val="24"/>
          <w:szCs w:val="24"/>
        </w:rPr>
        <w:t>U</w:t>
      </w:r>
      <w:r w:rsidRPr="00DA5EBF">
        <w:rPr>
          <w:sz w:val="24"/>
          <w:szCs w:val="24"/>
        </w:rPr>
        <w:t xml:space="preserve">ncontrolled </w:t>
      </w:r>
      <w:r w:rsidR="00DA5EBF">
        <w:rPr>
          <w:sz w:val="24"/>
          <w:szCs w:val="24"/>
        </w:rPr>
        <w:t>T</w:t>
      </w:r>
      <w:r w:rsidRPr="00DA5EBF">
        <w:rPr>
          <w:sz w:val="24"/>
          <w:szCs w:val="24"/>
        </w:rPr>
        <w:t>rials</w:t>
      </w:r>
    </w:p>
    <w:tbl>
      <w:tblPr>
        <w:tblStyle w:val="GridTable5Dark-Accent2"/>
        <w:tblW w:w="11340" w:type="dxa"/>
        <w:tblInd w:w="-905" w:type="dxa"/>
        <w:tblLook w:val="04A0" w:firstRow="1" w:lastRow="0" w:firstColumn="1" w:lastColumn="0" w:noHBand="0" w:noVBand="1"/>
      </w:tblPr>
      <w:tblGrid>
        <w:gridCol w:w="2430"/>
        <w:gridCol w:w="8910"/>
      </w:tblGrid>
      <w:tr w:rsidR="00DA5EBF" w14:paraId="26C02895" w14:textId="77777777" w:rsidTr="00A432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C3BDC19" w14:textId="77777777" w:rsidR="00DA5EBF" w:rsidRPr="0064197F" w:rsidRDefault="00DA5EBF" w:rsidP="00A432AD">
            <w:pPr>
              <w:jc w:val="center"/>
              <w:rPr>
                <w:sz w:val="24"/>
                <w:szCs w:val="24"/>
              </w:rPr>
            </w:pPr>
            <w:bookmarkStart w:id="0" w:name="_Hlk49941142"/>
            <w:r>
              <w:rPr>
                <w:sz w:val="24"/>
                <w:szCs w:val="24"/>
              </w:rPr>
              <w:t>Study</w:t>
            </w:r>
          </w:p>
        </w:tc>
        <w:tc>
          <w:tcPr>
            <w:tcW w:w="8910" w:type="dxa"/>
          </w:tcPr>
          <w:p w14:paraId="7F7781EC" w14:textId="77777777" w:rsidR="00DA5EBF" w:rsidRPr="0064197F" w:rsidRDefault="00DA5EBF" w:rsidP="00A432AD">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Shortcomings</w:t>
            </w:r>
          </w:p>
        </w:tc>
      </w:tr>
      <w:tr w:rsidR="00DA5EBF" w14:paraId="4E4DF464"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4E19AB2" w14:textId="77777777" w:rsidR="00DA5EBF" w:rsidRPr="0064197F" w:rsidRDefault="00DA5EBF" w:rsidP="00A432AD">
            <w:pPr>
              <w:jc w:val="center"/>
              <w:rPr>
                <w:sz w:val="24"/>
                <w:szCs w:val="24"/>
              </w:rPr>
            </w:pPr>
            <w:r>
              <w:rPr>
                <w:sz w:val="24"/>
                <w:szCs w:val="24"/>
              </w:rPr>
              <w:t>Luo et al.</w:t>
            </w:r>
          </w:p>
        </w:tc>
        <w:tc>
          <w:tcPr>
            <w:tcW w:w="8910" w:type="dxa"/>
          </w:tcPr>
          <w:p w14:paraId="4DF86BD7"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Difference in number of TCZ doses. Excluded patients. 1-week observation. SOC not delineated. Monitor disease progress by laboratory markers.</w:t>
            </w:r>
          </w:p>
        </w:tc>
      </w:tr>
      <w:tr w:rsidR="00DA5EBF" w14:paraId="491C69A7"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1FA57FA4" w14:textId="77777777" w:rsidR="00DA5EBF" w:rsidRPr="0064197F" w:rsidRDefault="00DA5EBF" w:rsidP="00A432AD">
            <w:pPr>
              <w:jc w:val="center"/>
              <w:rPr>
                <w:sz w:val="24"/>
                <w:szCs w:val="24"/>
              </w:rPr>
            </w:pPr>
            <w:r>
              <w:rPr>
                <w:sz w:val="24"/>
                <w:szCs w:val="24"/>
              </w:rPr>
              <w:t>Toniati et al.</w:t>
            </w:r>
          </w:p>
        </w:tc>
        <w:tc>
          <w:tcPr>
            <w:tcW w:w="8910" w:type="dxa"/>
          </w:tcPr>
          <w:p w14:paraId="2B1E6BDB"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Some patients received three doses. 10-day follow-up. 57% of patients were treated outside of the ICU due to a lack of bed availability. </w:t>
            </w:r>
          </w:p>
        </w:tc>
      </w:tr>
      <w:tr w:rsidR="00DA5EBF" w14:paraId="48A8B6FC"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20E153D" w14:textId="77777777" w:rsidR="00DA5EBF" w:rsidRPr="0064197F" w:rsidRDefault="00DA5EBF" w:rsidP="00A432AD">
            <w:pPr>
              <w:jc w:val="center"/>
              <w:rPr>
                <w:sz w:val="24"/>
                <w:szCs w:val="24"/>
              </w:rPr>
            </w:pPr>
            <w:r>
              <w:rPr>
                <w:sz w:val="24"/>
                <w:szCs w:val="24"/>
              </w:rPr>
              <w:t>Xu et al.</w:t>
            </w:r>
          </w:p>
        </w:tc>
        <w:tc>
          <w:tcPr>
            <w:tcW w:w="8910" w:type="dxa"/>
          </w:tcPr>
          <w:p w14:paraId="5151C2BD"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patient inexplicably dropped from analysis. 3 patients given 2</w:t>
            </w:r>
            <w:r w:rsidRPr="009761AD">
              <w:rPr>
                <w:sz w:val="24"/>
                <w:szCs w:val="24"/>
                <w:vertAlign w:val="superscript"/>
              </w:rPr>
              <w:t>nd</w:t>
            </w:r>
            <w:r>
              <w:rPr>
                <w:sz w:val="24"/>
                <w:szCs w:val="24"/>
              </w:rPr>
              <w:t xml:space="preserve"> dose.</w:t>
            </w:r>
          </w:p>
        </w:tc>
      </w:tr>
      <w:tr w:rsidR="00DA5EBF" w14:paraId="14A168B6"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0B80B1B9" w14:textId="77777777" w:rsidR="00DA5EBF" w:rsidRPr="0064197F" w:rsidRDefault="00DA5EBF" w:rsidP="00A432AD">
            <w:pPr>
              <w:jc w:val="center"/>
              <w:rPr>
                <w:sz w:val="24"/>
                <w:szCs w:val="24"/>
              </w:rPr>
            </w:pPr>
            <w:r>
              <w:rPr>
                <w:sz w:val="24"/>
                <w:szCs w:val="24"/>
              </w:rPr>
              <w:t>Price et al.</w:t>
            </w:r>
          </w:p>
        </w:tc>
        <w:tc>
          <w:tcPr>
            <w:tcW w:w="8910" w:type="dxa"/>
          </w:tcPr>
          <w:p w14:paraId="632EC751"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Variation in SOC.</w:t>
            </w:r>
          </w:p>
        </w:tc>
      </w:tr>
      <w:tr w:rsidR="00DA5EBF" w14:paraId="11E86CBB"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F3AD261" w14:textId="77777777" w:rsidR="00DA5EBF" w:rsidRPr="0064197F" w:rsidRDefault="00DA5EBF" w:rsidP="00A432AD">
            <w:pPr>
              <w:jc w:val="center"/>
              <w:rPr>
                <w:sz w:val="24"/>
                <w:szCs w:val="24"/>
              </w:rPr>
            </w:pPr>
            <w:r>
              <w:rPr>
                <w:sz w:val="24"/>
                <w:szCs w:val="24"/>
              </w:rPr>
              <w:t>Sciascia et al.</w:t>
            </w:r>
          </w:p>
        </w:tc>
        <w:tc>
          <w:tcPr>
            <w:tcW w:w="8910" w:type="dxa"/>
          </w:tcPr>
          <w:p w14:paraId="5EA598EC"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SOC not included; data from multiple centers assessed. Mortality/clinical improvement was not a primary end-point. Variation in TCZ administration.</w:t>
            </w:r>
          </w:p>
        </w:tc>
      </w:tr>
      <w:tr w:rsidR="00DA5EBF" w14:paraId="23B759C5"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1C9FF0FE" w14:textId="77777777" w:rsidR="00DA5EBF" w:rsidRPr="0064197F" w:rsidRDefault="00DA5EBF" w:rsidP="00A432AD">
            <w:pPr>
              <w:jc w:val="center"/>
              <w:rPr>
                <w:sz w:val="24"/>
                <w:szCs w:val="24"/>
              </w:rPr>
            </w:pPr>
            <w:r>
              <w:rPr>
                <w:sz w:val="24"/>
                <w:szCs w:val="24"/>
              </w:rPr>
              <w:t>Alattar et al.</w:t>
            </w:r>
          </w:p>
        </w:tc>
        <w:tc>
          <w:tcPr>
            <w:tcW w:w="8910" w:type="dxa"/>
          </w:tcPr>
          <w:p w14:paraId="3EECF672"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Difference in SOC (antiviral agents). Could not determine source of adverse events. Variation in TCZ doses.</w:t>
            </w:r>
          </w:p>
        </w:tc>
      </w:tr>
      <w:tr w:rsidR="00DA5EBF" w14:paraId="1C77D7BC"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4BFB92B0" w14:textId="77777777" w:rsidR="00DA5EBF" w:rsidRPr="0064197F" w:rsidRDefault="00DA5EBF" w:rsidP="00A432AD">
            <w:pPr>
              <w:jc w:val="center"/>
              <w:rPr>
                <w:sz w:val="24"/>
                <w:szCs w:val="24"/>
              </w:rPr>
            </w:pPr>
            <w:r>
              <w:rPr>
                <w:sz w:val="24"/>
                <w:szCs w:val="24"/>
              </w:rPr>
              <w:t>Issa et al.</w:t>
            </w:r>
          </w:p>
        </w:tc>
        <w:tc>
          <w:tcPr>
            <w:tcW w:w="8910" w:type="dxa"/>
          </w:tcPr>
          <w:p w14:paraId="0D3745A7"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Very small sample. Does not describe selection criteria. </w:t>
            </w:r>
          </w:p>
        </w:tc>
      </w:tr>
      <w:tr w:rsidR="00DA5EBF" w14:paraId="50CCBD63"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3C9C0663" w14:textId="77777777" w:rsidR="00DA5EBF" w:rsidRPr="0064197F" w:rsidRDefault="00DA5EBF" w:rsidP="00A432AD">
            <w:pPr>
              <w:jc w:val="center"/>
              <w:rPr>
                <w:sz w:val="24"/>
                <w:szCs w:val="24"/>
              </w:rPr>
            </w:pPr>
            <w:r>
              <w:rPr>
                <w:sz w:val="24"/>
                <w:szCs w:val="24"/>
              </w:rPr>
              <w:t>Quartuccio et al.</w:t>
            </w:r>
          </w:p>
        </w:tc>
        <w:tc>
          <w:tcPr>
            <w:tcW w:w="8910" w:type="dxa"/>
          </w:tcPr>
          <w:p w14:paraId="48ADDB8E"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Primary goal of study was to identify laboratory features to predict CODI-19 severity. “Controls” for trial who did not receive TCZ were patients who did not need oxygen support at baseline (therefore, the study was considered uncontrolled and only TCZ patients were assessed). Variation in glucocorticoid administration. </w:t>
            </w:r>
          </w:p>
        </w:tc>
      </w:tr>
      <w:tr w:rsidR="00DA5EBF" w14:paraId="146B08D0"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598A60E5" w14:textId="77777777" w:rsidR="00DA5EBF" w:rsidRPr="0064197F" w:rsidRDefault="00DA5EBF" w:rsidP="00A432AD">
            <w:pPr>
              <w:jc w:val="center"/>
              <w:rPr>
                <w:sz w:val="24"/>
                <w:szCs w:val="24"/>
              </w:rPr>
            </w:pPr>
            <w:r>
              <w:rPr>
                <w:sz w:val="24"/>
                <w:szCs w:val="24"/>
              </w:rPr>
              <w:t>Campins et al.</w:t>
            </w:r>
          </w:p>
        </w:tc>
        <w:tc>
          <w:tcPr>
            <w:tcW w:w="8910" w:type="dxa"/>
          </w:tcPr>
          <w:p w14:paraId="2CB41A8B"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SOC not provided other than corticosteroids, which varied amongst patients and could confound results. Inclusion criteria not outlined. Limited data provided in report. </w:t>
            </w:r>
          </w:p>
        </w:tc>
      </w:tr>
      <w:tr w:rsidR="00DA5EBF" w14:paraId="10CFAD9D"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693DBD85" w14:textId="77777777" w:rsidR="00DA5EBF" w:rsidRPr="0064197F" w:rsidRDefault="00DA5EBF" w:rsidP="00A432AD">
            <w:pPr>
              <w:jc w:val="center"/>
              <w:rPr>
                <w:sz w:val="24"/>
                <w:szCs w:val="24"/>
              </w:rPr>
            </w:pPr>
            <w:r>
              <w:rPr>
                <w:sz w:val="24"/>
                <w:szCs w:val="24"/>
              </w:rPr>
              <w:t>Morena et al.</w:t>
            </w:r>
          </w:p>
        </w:tc>
        <w:tc>
          <w:tcPr>
            <w:tcW w:w="8910" w:type="dxa"/>
          </w:tcPr>
          <w:p w14:paraId="009C8CBC"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Difference in TCZ administration and SOC.</w:t>
            </w:r>
          </w:p>
        </w:tc>
      </w:tr>
      <w:tr w:rsidR="00DA5EBF" w14:paraId="13829C4C"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A44250D" w14:textId="77777777" w:rsidR="00DA5EBF" w:rsidRDefault="00DA5EBF" w:rsidP="00A432AD">
            <w:pPr>
              <w:jc w:val="center"/>
              <w:rPr>
                <w:sz w:val="24"/>
                <w:szCs w:val="24"/>
              </w:rPr>
            </w:pPr>
            <w:r w:rsidRPr="00F87042">
              <w:rPr>
                <w:sz w:val="24"/>
                <w:szCs w:val="24"/>
              </w:rPr>
              <w:t>Borku Uysal</w:t>
            </w:r>
            <w:r>
              <w:rPr>
                <w:sz w:val="24"/>
                <w:szCs w:val="24"/>
              </w:rPr>
              <w:t xml:space="preserve"> et al.</w:t>
            </w:r>
          </w:p>
        </w:tc>
        <w:tc>
          <w:tcPr>
            <w:tcW w:w="8910" w:type="dxa"/>
          </w:tcPr>
          <w:p w14:paraId="734E0780"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Very small sample. Does not delineate inclusion criteria. </w:t>
            </w:r>
          </w:p>
        </w:tc>
      </w:tr>
      <w:tr w:rsidR="00DA5EBF" w14:paraId="2F14235E"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14B2C2F0" w14:textId="77777777" w:rsidR="00DA5EBF" w:rsidRPr="00F87042" w:rsidRDefault="00DA5EBF" w:rsidP="00A432AD">
            <w:pPr>
              <w:jc w:val="center"/>
              <w:rPr>
                <w:sz w:val="24"/>
                <w:szCs w:val="24"/>
              </w:rPr>
            </w:pPr>
            <w:r>
              <w:rPr>
                <w:sz w:val="24"/>
                <w:szCs w:val="24"/>
              </w:rPr>
              <w:t>Strohbehn et al.</w:t>
            </w:r>
          </w:p>
        </w:tc>
        <w:tc>
          <w:tcPr>
            <w:tcW w:w="8910" w:type="dxa"/>
          </w:tcPr>
          <w:p w14:paraId="28ED34ED"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Range of TCZ doses. Primary endpoint was fever resolution and CRP response. Small, single-center. High epidemiological risk factors. </w:t>
            </w:r>
          </w:p>
        </w:tc>
      </w:tr>
      <w:tr w:rsidR="00DA5EBF" w14:paraId="6C46328E"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329D9AA0" w14:textId="77777777" w:rsidR="00DA5EBF" w:rsidRPr="00461401" w:rsidRDefault="00DA5EBF" w:rsidP="00A432AD">
            <w:pPr>
              <w:pStyle w:val="ListParagraph"/>
              <w:numPr>
                <w:ilvl w:val="0"/>
                <w:numId w:val="1"/>
              </w:numPr>
              <w:jc w:val="center"/>
              <w:rPr>
                <w:sz w:val="24"/>
                <w:szCs w:val="24"/>
              </w:rPr>
            </w:pPr>
            <w:r>
              <w:rPr>
                <w:sz w:val="24"/>
                <w:szCs w:val="24"/>
              </w:rPr>
              <w:t>Patel et al.</w:t>
            </w:r>
          </w:p>
        </w:tc>
        <w:tc>
          <w:tcPr>
            <w:tcW w:w="8910" w:type="dxa"/>
          </w:tcPr>
          <w:p w14:paraId="6341BEEB"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Small sample size. Low median age. One hospital.</w:t>
            </w:r>
          </w:p>
        </w:tc>
      </w:tr>
      <w:tr w:rsidR="00DA5EBF" w14:paraId="1301198A"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5C0E7515" w14:textId="77777777" w:rsidR="00DA5EBF" w:rsidRDefault="00DA5EBF" w:rsidP="00A432AD">
            <w:pPr>
              <w:pStyle w:val="ListParagraph"/>
              <w:ind w:left="0"/>
              <w:jc w:val="center"/>
              <w:rPr>
                <w:sz w:val="24"/>
                <w:szCs w:val="24"/>
              </w:rPr>
            </w:pPr>
            <w:r>
              <w:rPr>
                <w:sz w:val="24"/>
                <w:szCs w:val="24"/>
              </w:rPr>
              <w:t>Tomasiewicz et al.</w:t>
            </w:r>
          </w:p>
        </w:tc>
        <w:tc>
          <w:tcPr>
            <w:tcW w:w="8910" w:type="dxa"/>
          </w:tcPr>
          <w:p w14:paraId="31AE9E71"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Participant selection process unclear. Short observation period. Different co-treatments and comorbidities. </w:t>
            </w:r>
          </w:p>
        </w:tc>
      </w:tr>
      <w:tr w:rsidR="00DA5EBF" w14:paraId="4BCBFC44"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C3D775C" w14:textId="77777777" w:rsidR="00DA5EBF" w:rsidRDefault="00DA5EBF" w:rsidP="00A432AD">
            <w:pPr>
              <w:pStyle w:val="ListParagraph"/>
              <w:ind w:left="0"/>
              <w:jc w:val="center"/>
              <w:rPr>
                <w:sz w:val="24"/>
                <w:szCs w:val="24"/>
              </w:rPr>
            </w:pPr>
            <w:r w:rsidRPr="001D51DB">
              <w:rPr>
                <w:sz w:val="24"/>
                <w:szCs w:val="24"/>
              </w:rPr>
              <w:t>Moreno-Pérez</w:t>
            </w:r>
            <w:r>
              <w:rPr>
                <w:sz w:val="24"/>
                <w:szCs w:val="24"/>
              </w:rPr>
              <w:t xml:space="preserve"> et al.</w:t>
            </w:r>
          </w:p>
        </w:tc>
        <w:tc>
          <w:tcPr>
            <w:tcW w:w="8910" w:type="dxa"/>
          </w:tcPr>
          <w:p w14:paraId="4D18CF0D"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One center. Inconsistent baseline characteristics. Comorbidity independent mortality factor.</w:t>
            </w:r>
          </w:p>
        </w:tc>
      </w:tr>
      <w:tr w:rsidR="00DA5EBF" w14:paraId="0363F092"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6B998EAC" w14:textId="77777777" w:rsidR="00DA5EBF" w:rsidRPr="001D51DB" w:rsidRDefault="00DA5EBF" w:rsidP="00A432AD">
            <w:pPr>
              <w:pStyle w:val="ListParagraph"/>
              <w:ind w:left="0"/>
              <w:jc w:val="center"/>
              <w:rPr>
                <w:sz w:val="24"/>
                <w:szCs w:val="24"/>
              </w:rPr>
            </w:pPr>
            <w:r w:rsidRPr="001D51DB">
              <w:rPr>
                <w:sz w:val="24"/>
                <w:szCs w:val="24"/>
              </w:rPr>
              <w:t>Fernández‐Ruiz</w:t>
            </w:r>
            <w:r>
              <w:rPr>
                <w:sz w:val="24"/>
                <w:szCs w:val="24"/>
              </w:rPr>
              <w:t xml:space="preserve"> et al.</w:t>
            </w:r>
          </w:p>
        </w:tc>
        <w:tc>
          <w:tcPr>
            <w:tcW w:w="8910" w:type="dxa"/>
          </w:tcPr>
          <w:p w14:paraId="7D0351BE"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Primary analysis after only 7 days. Restrictive inclusion criteria. No multivariate analysis. Young mean participant age.</w:t>
            </w:r>
          </w:p>
        </w:tc>
      </w:tr>
      <w:tr w:rsidR="00DA5EBF" w14:paraId="2235B09C" w14:textId="77777777" w:rsidTr="00A432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C10BEF9" w14:textId="77777777" w:rsidR="00DA5EBF" w:rsidRPr="001D51DB" w:rsidRDefault="00DA5EBF" w:rsidP="00A432AD">
            <w:pPr>
              <w:pStyle w:val="ListParagraph"/>
              <w:ind w:left="0"/>
              <w:jc w:val="center"/>
              <w:rPr>
                <w:sz w:val="24"/>
                <w:szCs w:val="24"/>
              </w:rPr>
            </w:pPr>
            <w:r>
              <w:rPr>
                <w:sz w:val="24"/>
                <w:szCs w:val="24"/>
              </w:rPr>
              <w:t>Knorr et al.</w:t>
            </w:r>
          </w:p>
        </w:tc>
        <w:tc>
          <w:tcPr>
            <w:tcW w:w="8910" w:type="dxa"/>
          </w:tcPr>
          <w:p w14:paraId="197B1733" w14:textId="77777777" w:rsidR="00DA5EBF" w:rsidRDefault="00DA5EBF" w:rsidP="00A432A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Unclear recruitment and inclusion methods. Change in TCZ dosing, reduced to one dose max midway through. High rates of hypertension, diabetes and obesity. </w:t>
            </w:r>
          </w:p>
        </w:tc>
      </w:tr>
      <w:tr w:rsidR="00DA5EBF" w14:paraId="215B7C22" w14:textId="77777777" w:rsidTr="00A432AD">
        <w:tc>
          <w:tcPr>
            <w:cnfStyle w:val="001000000000" w:firstRow="0" w:lastRow="0" w:firstColumn="1" w:lastColumn="0" w:oddVBand="0" w:evenVBand="0" w:oddHBand="0" w:evenHBand="0" w:firstRowFirstColumn="0" w:firstRowLastColumn="0" w:lastRowFirstColumn="0" w:lastRowLastColumn="0"/>
            <w:tcW w:w="2430" w:type="dxa"/>
          </w:tcPr>
          <w:p w14:paraId="00C5032D" w14:textId="77777777" w:rsidR="00DA5EBF" w:rsidRDefault="00DA5EBF" w:rsidP="00A432AD">
            <w:pPr>
              <w:pStyle w:val="ListParagraph"/>
              <w:ind w:left="0"/>
              <w:jc w:val="center"/>
              <w:rPr>
                <w:sz w:val="24"/>
                <w:szCs w:val="24"/>
              </w:rPr>
            </w:pPr>
            <w:r>
              <w:rPr>
                <w:sz w:val="24"/>
                <w:szCs w:val="24"/>
              </w:rPr>
              <w:t>Jordan et al.</w:t>
            </w:r>
          </w:p>
        </w:tc>
        <w:tc>
          <w:tcPr>
            <w:tcW w:w="8910" w:type="dxa"/>
          </w:tcPr>
          <w:p w14:paraId="21179929" w14:textId="77777777" w:rsidR="00DA5EBF" w:rsidRDefault="00DA5EBF" w:rsidP="00A432A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Single center. Limited to one dose. Seven patients also enrolled in placebo-controlled remdesivir trial. Limited follow-up time. </w:t>
            </w:r>
          </w:p>
        </w:tc>
      </w:tr>
      <w:bookmarkEnd w:id="0"/>
    </w:tbl>
    <w:p w14:paraId="3E81C496" w14:textId="77777777" w:rsidR="00DA5EBF" w:rsidRPr="008B3EE4" w:rsidRDefault="00DA5EBF" w:rsidP="00AD1ABB">
      <w:pPr>
        <w:rPr>
          <w:sz w:val="24"/>
          <w:szCs w:val="24"/>
        </w:rPr>
      </w:pPr>
    </w:p>
    <w:p w14:paraId="51572AFD" w14:textId="77777777" w:rsidR="00AD1ABB" w:rsidRDefault="00AD1ABB"/>
    <w:sectPr w:rsidR="00AD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6772C"/>
    <w:multiLevelType w:val="hybridMultilevel"/>
    <w:tmpl w:val="2D1CF7BE"/>
    <w:lvl w:ilvl="0" w:tplc="5D48FD3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BB"/>
    <w:rsid w:val="00AD1ABB"/>
    <w:rsid w:val="00DA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3BE1"/>
  <w15:chartTrackingRefBased/>
  <w15:docId w15:val="{BB9312C3-7711-42D6-B6B3-A1913F4D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ABB"/>
    <w:pPr>
      <w:ind w:left="720"/>
      <w:contextualSpacing/>
    </w:pPr>
  </w:style>
  <w:style w:type="table" w:styleId="GridTable5Dark-Accent2">
    <w:name w:val="Grid Table 5 Dark Accent 2"/>
    <w:basedOn w:val="TableNormal"/>
    <w:uiPriority w:val="50"/>
    <w:rsid w:val="00AD1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Kaye</dc:creator>
  <cp:keywords/>
  <dc:description/>
  <cp:lastModifiedBy>Avi Kaye</cp:lastModifiedBy>
  <cp:revision>2</cp:revision>
  <dcterms:created xsi:type="dcterms:W3CDTF">2020-09-02T18:25:00Z</dcterms:created>
  <dcterms:modified xsi:type="dcterms:W3CDTF">2020-09-02T18:32:00Z</dcterms:modified>
</cp:coreProperties>
</file>