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C95A3" w14:textId="1916D452" w:rsidR="00254BFB" w:rsidRPr="00254BFB" w:rsidRDefault="00254BFB" w:rsidP="00254BFB">
      <w:pPr>
        <w:spacing w:line="276" w:lineRule="auto"/>
        <w:rPr>
          <w:rFonts w:cs="Times New Roman"/>
          <w:b/>
          <w:bCs w:val="0"/>
          <w:szCs w:val="24"/>
        </w:rPr>
      </w:pPr>
      <w:bookmarkStart w:id="0" w:name="_GoBack"/>
      <w:bookmarkEnd w:id="0"/>
      <w:r w:rsidRPr="00254BFB">
        <w:rPr>
          <w:rFonts w:cs="Times New Roman"/>
          <w:b/>
          <w:bCs w:val="0"/>
          <w:szCs w:val="24"/>
        </w:rPr>
        <w:t>Supplemental Figure</w:t>
      </w:r>
      <w:r w:rsidRPr="00254BFB">
        <w:rPr>
          <w:rFonts w:cs="Times New Roman"/>
          <w:b/>
          <w:bCs w:val="0"/>
          <w:szCs w:val="24"/>
        </w:rPr>
        <w:t>s</w:t>
      </w:r>
    </w:p>
    <w:p w14:paraId="1F554D62" w14:textId="77777777" w:rsidR="00254BFB" w:rsidRPr="00254BFB" w:rsidRDefault="00254BFB" w:rsidP="00254BFB">
      <w:pPr>
        <w:spacing w:line="276" w:lineRule="auto"/>
        <w:rPr>
          <w:b/>
          <w:bCs w:val="0"/>
          <w:szCs w:val="24"/>
        </w:rPr>
      </w:pPr>
    </w:p>
    <w:p w14:paraId="0C3C54CB" w14:textId="64FF129E" w:rsidR="00254BFB" w:rsidRPr="00AA7DD3" w:rsidRDefault="00254BFB" w:rsidP="00254BFB">
      <w:pPr>
        <w:spacing w:line="276" w:lineRule="auto"/>
        <w:rPr>
          <w:rStyle w:val="fontstyle21"/>
          <w:rFonts w:cs="Times New Roman"/>
          <w:color w:val="FF0000"/>
          <w:szCs w:val="24"/>
        </w:rPr>
      </w:pPr>
      <w:r>
        <w:rPr>
          <w:rFonts w:ascii="NimbusRomNo9L-Regu" w:hAnsi="NimbusRomNo9L-Regu" w:cs="Times New Roman"/>
          <w:noProof/>
          <w:color w:val="FF0000"/>
          <w:sz w:val="20"/>
          <w:szCs w:val="24"/>
        </w:rPr>
        <w:drawing>
          <wp:inline distT="0" distB="0" distL="0" distR="0" wp14:anchorId="287A1510" wp14:editId="41F03731">
            <wp:extent cx="54864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38F14" w14:textId="77777777" w:rsidR="00254BFB" w:rsidRPr="00254BFB" w:rsidRDefault="00254BFB" w:rsidP="00254BFB">
      <w:pPr>
        <w:spacing w:line="276" w:lineRule="auto"/>
        <w:rPr>
          <w:rStyle w:val="fontstyle21"/>
          <w:rFonts w:cs="Times New Roman"/>
          <w:sz w:val="24"/>
          <w:szCs w:val="24"/>
        </w:rPr>
      </w:pPr>
      <w:r w:rsidRPr="00254BFB">
        <w:rPr>
          <w:rFonts w:cs="Times New Roman"/>
          <w:b/>
          <w:bCs w:val="0"/>
          <w:szCs w:val="24"/>
        </w:rPr>
        <w:t xml:space="preserve">S.I. Figure 1. </w:t>
      </w:r>
      <w:r w:rsidRPr="00254BFB">
        <w:rPr>
          <w:rStyle w:val="fontstyle01"/>
          <w:rFonts w:cs="Times New Roman"/>
          <w:b/>
          <w:bCs w:val="0"/>
          <w:sz w:val="24"/>
          <w:szCs w:val="24"/>
        </w:rPr>
        <w:t>Type I errors in simulations.</w:t>
      </w:r>
      <w:r w:rsidRPr="00254BFB">
        <w:rPr>
          <w:rStyle w:val="fontstyle01"/>
          <w:rFonts w:cs="Times New Roman"/>
          <w:sz w:val="24"/>
          <w:szCs w:val="24"/>
        </w:rPr>
        <w:t xml:space="preserve"> </w:t>
      </w:r>
      <w:r w:rsidRPr="00254BFB">
        <w:rPr>
          <w:rStyle w:val="fontstyle21"/>
          <w:rFonts w:cs="Times New Roman"/>
          <w:sz w:val="24"/>
          <w:szCs w:val="24"/>
        </w:rPr>
        <w:t>Proportion of Type I experiment-wise error rates (EERs) between the nine multiple</w:t>
      </w:r>
      <w:r w:rsidRPr="00254BFB">
        <w:rPr>
          <w:rFonts w:cs="Times New Roman"/>
          <w:szCs w:val="24"/>
        </w:rPr>
        <w:t xml:space="preserve"> </w:t>
      </w:r>
      <w:r w:rsidRPr="00254BFB">
        <w:rPr>
          <w:rStyle w:val="fontstyle21"/>
          <w:rFonts w:cs="Times New Roman"/>
          <w:sz w:val="24"/>
          <w:szCs w:val="24"/>
        </w:rPr>
        <w:t>comparison tests (MCTs) in each of the four simulation treatments. Simulation group abbreviations can</w:t>
      </w:r>
      <w:r w:rsidRPr="00254BFB">
        <w:rPr>
          <w:rFonts w:cs="Times New Roman"/>
          <w:szCs w:val="24"/>
        </w:rPr>
        <w:t xml:space="preserve"> b</w:t>
      </w:r>
      <w:r w:rsidRPr="00254BFB">
        <w:rPr>
          <w:rStyle w:val="fontstyle21"/>
          <w:rFonts w:cs="Times New Roman"/>
          <w:sz w:val="24"/>
          <w:szCs w:val="24"/>
        </w:rPr>
        <w:t>e found in the Figure 1 caption.</w:t>
      </w:r>
    </w:p>
    <w:p w14:paraId="1D11DB7B" w14:textId="77777777" w:rsidR="00254BFB" w:rsidRDefault="00254BFB" w:rsidP="00254BFB">
      <w:pPr>
        <w:spacing w:line="276" w:lineRule="auto"/>
        <w:rPr>
          <w:rFonts w:cs="Times New Roman"/>
          <w:b/>
          <w:bCs w:val="0"/>
          <w:szCs w:val="24"/>
        </w:rPr>
      </w:pPr>
    </w:p>
    <w:p w14:paraId="7B83FF2A" w14:textId="77777777" w:rsidR="00254BFB" w:rsidRDefault="00254BFB">
      <w:pPr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br w:type="page"/>
      </w:r>
    </w:p>
    <w:p w14:paraId="7F17605E" w14:textId="2BCDFF4E" w:rsidR="00254BFB" w:rsidRDefault="00254BFB" w:rsidP="00254BFB">
      <w:pPr>
        <w:spacing w:line="276" w:lineRule="auto"/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noProof/>
          <w:szCs w:val="24"/>
        </w:rPr>
        <w:lastRenderedPageBreak/>
        <w:drawing>
          <wp:inline distT="0" distB="0" distL="0" distR="0" wp14:anchorId="18C82FA6" wp14:editId="6100E499">
            <wp:extent cx="548640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DABB1" w14:textId="11E0FB5A" w:rsidR="00254BFB" w:rsidRPr="00254BFB" w:rsidRDefault="00254BFB" w:rsidP="00254BFB">
      <w:pPr>
        <w:spacing w:line="276" w:lineRule="auto"/>
        <w:rPr>
          <w:rFonts w:cs="Times New Roman"/>
          <w:color w:val="FF0000"/>
          <w:szCs w:val="24"/>
        </w:rPr>
      </w:pPr>
      <w:r w:rsidRPr="00254BFB">
        <w:rPr>
          <w:rFonts w:cs="Times New Roman"/>
          <w:b/>
          <w:bCs w:val="0"/>
          <w:szCs w:val="24"/>
        </w:rPr>
        <w:t xml:space="preserve">S.I. Figure 2. </w:t>
      </w:r>
      <w:r w:rsidRPr="00254BFB">
        <w:rPr>
          <w:rStyle w:val="fontstyle01"/>
          <w:rFonts w:cs="Times New Roman"/>
          <w:b/>
          <w:bCs w:val="0"/>
          <w:sz w:val="24"/>
          <w:szCs w:val="24"/>
        </w:rPr>
        <w:t>Type II errors in simulations.</w:t>
      </w:r>
      <w:r w:rsidRPr="00254BFB">
        <w:rPr>
          <w:rStyle w:val="fontstyle01"/>
          <w:rFonts w:cs="Times New Roman"/>
          <w:sz w:val="24"/>
          <w:szCs w:val="24"/>
        </w:rPr>
        <w:t xml:space="preserve"> </w:t>
      </w:r>
      <w:r w:rsidRPr="00254BFB">
        <w:rPr>
          <w:rStyle w:val="fontstyle21"/>
          <w:rFonts w:cs="Times New Roman"/>
          <w:sz w:val="24"/>
          <w:szCs w:val="24"/>
        </w:rPr>
        <w:t>Proportion of Type II experiment-wise error rates (EERs) between the nine multiple</w:t>
      </w:r>
      <w:r w:rsidRPr="00254BFB">
        <w:rPr>
          <w:rFonts w:cs="Times New Roman"/>
          <w:szCs w:val="24"/>
        </w:rPr>
        <w:t xml:space="preserve"> </w:t>
      </w:r>
      <w:r w:rsidRPr="00254BFB">
        <w:rPr>
          <w:rStyle w:val="fontstyle21"/>
          <w:rFonts w:cs="Times New Roman"/>
          <w:sz w:val="24"/>
          <w:szCs w:val="24"/>
        </w:rPr>
        <w:t>comparison tests (MCTs) in each of the four simulation treatments. Simulation group abbreviations can</w:t>
      </w:r>
      <w:r w:rsidRPr="00254BFB">
        <w:rPr>
          <w:rFonts w:cs="Times New Roman"/>
          <w:szCs w:val="24"/>
        </w:rPr>
        <w:t xml:space="preserve"> b</w:t>
      </w:r>
      <w:r w:rsidRPr="00254BFB">
        <w:rPr>
          <w:rStyle w:val="fontstyle21"/>
          <w:rFonts w:cs="Times New Roman"/>
          <w:sz w:val="24"/>
          <w:szCs w:val="24"/>
        </w:rPr>
        <w:t>e found in the Figure 1 caption.</w:t>
      </w:r>
    </w:p>
    <w:p w14:paraId="207A239D" w14:textId="77777777" w:rsidR="00502393" w:rsidRDefault="00502393"/>
    <w:sectPr w:rsidR="00502393" w:rsidSect="0025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RomNo9L-MediItal">
    <w:altName w:val="Times New Roman"/>
    <w:panose1 w:val="020B0604020202020204"/>
    <w:charset w:val="00"/>
    <w:family w:val="roman"/>
    <w:notTrueType/>
    <w:pitch w:val="default"/>
  </w:font>
  <w:font w:name="NimbusRomNo9L-Regu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FB"/>
    <w:rsid w:val="00016999"/>
    <w:rsid w:val="000458B2"/>
    <w:rsid w:val="00051196"/>
    <w:rsid w:val="000C727E"/>
    <w:rsid w:val="000F5D76"/>
    <w:rsid w:val="00117830"/>
    <w:rsid w:val="00120179"/>
    <w:rsid w:val="00122676"/>
    <w:rsid w:val="00141D7B"/>
    <w:rsid w:val="00167D90"/>
    <w:rsid w:val="00175244"/>
    <w:rsid w:val="00175D31"/>
    <w:rsid w:val="001C2C9C"/>
    <w:rsid w:val="001C5DE8"/>
    <w:rsid w:val="001C7DB6"/>
    <w:rsid w:val="002025B9"/>
    <w:rsid w:val="00216C48"/>
    <w:rsid w:val="00245C94"/>
    <w:rsid w:val="00254BFB"/>
    <w:rsid w:val="0028387B"/>
    <w:rsid w:val="00296552"/>
    <w:rsid w:val="002A0550"/>
    <w:rsid w:val="002A21F4"/>
    <w:rsid w:val="002C5847"/>
    <w:rsid w:val="002D25B1"/>
    <w:rsid w:val="002D2F49"/>
    <w:rsid w:val="002E32B0"/>
    <w:rsid w:val="00305CDF"/>
    <w:rsid w:val="003075C8"/>
    <w:rsid w:val="003130B2"/>
    <w:rsid w:val="00324366"/>
    <w:rsid w:val="00346B83"/>
    <w:rsid w:val="003730A4"/>
    <w:rsid w:val="0039654B"/>
    <w:rsid w:val="003A1649"/>
    <w:rsid w:val="003C5C82"/>
    <w:rsid w:val="003D5096"/>
    <w:rsid w:val="003F5DD2"/>
    <w:rsid w:val="003F6A85"/>
    <w:rsid w:val="0040674C"/>
    <w:rsid w:val="00435F3D"/>
    <w:rsid w:val="00436DC3"/>
    <w:rsid w:val="00443E5D"/>
    <w:rsid w:val="00450ED2"/>
    <w:rsid w:val="004605C3"/>
    <w:rsid w:val="004672D4"/>
    <w:rsid w:val="004730D1"/>
    <w:rsid w:val="00474CC4"/>
    <w:rsid w:val="004C2FBB"/>
    <w:rsid w:val="004F2D24"/>
    <w:rsid w:val="004F7F04"/>
    <w:rsid w:val="00502393"/>
    <w:rsid w:val="005071BA"/>
    <w:rsid w:val="00513941"/>
    <w:rsid w:val="00513A4D"/>
    <w:rsid w:val="005161E3"/>
    <w:rsid w:val="00562458"/>
    <w:rsid w:val="00563314"/>
    <w:rsid w:val="00564240"/>
    <w:rsid w:val="0057110D"/>
    <w:rsid w:val="005764C5"/>
    <w:rsid w:val="00594182"/>
    <w:rsid w:val="005A2996"/>
    <w:rsid w:val="005C41F2"/>
    <w:rsid w:val="005C5749"/>
    <w:rsid w:val="005C6691"/>
    <w:rsid w:val="00601161"/>
    <w:rsid w:val="0066050E"/>
    <w:rsid w:val="00665E2E"/>
    <w:rsid w:val="00673102"/>
    <w:rsid w:val="00677CF7"/>
    <w:rsid w:val="006909B3"/>
    <w:rsid w:val="006B2E36"/>
    <w:rsid w:val="006B437C"/>
    <w:rsid w:val="006F02FD"/>
    <w:rsid w:val="0074242B"/>
    <w:rsid w:val="00757E0C"/>
    <w:rsid w:val="00770774"/>
    <w:rsid w:val="007772DC"/>
    <w:rsid w:val="00780F52"/>
    <w:rsid w:val="00784A36"/>
    <w:rsid w:val="00792F18"/>
    <w:rsid w:val="00796927"/>
    <w:rsid w:val="007B72F9"/>
    <w:rsid w:val="007D306E"/>
    <w:rsid w:val="007F08A5"/>
    <w:rsid w:val="008112F8"/>
    <w:rsid w:val="008116CF"/>
    <w:rsid w:val="00835E9B"/>
    <w:rsid w:val="00840E78"/>
    <w:rsid w:val="00842CF1"/>
    <w:rsid w:val="008562A2"/>
    <w:rsid w:val="00863692"/>
    <w:rsid w:val="008B065A"/>
    <w:rsid w:val="008B0F4D"/>
    <w:rsid w:val="008B667A"/>
    <w:rsid w:val="008D39A2"/>
    <w:rsid w:val="00910DDD"/>
    <w:rsid w:val="0091306D"/>
    <w:rsid w:val="00925BCF"/>
    <w:rsid w:val="009305BE"/>
    <w:rsid w:val="009336E9"/>
    <w:rsid w:val="009343DB"/>
    <w:rsid w:val="00970E10"/>
    <w:rsid w:val="009860EB"/>
    <w:rsid w:val="009A2CA6"/>
    <w:rsid w:val="009A51DC"/>
    <w:rsid w:val="009B405C"/>
    <w:rsid w:val="009B633B"/>
    <w:rsid w:val="009E237F"/>
    <w:rsid w:val="009E26ED"/>
    <w:rsid w:val="009F41B1"/>
    <w:rsid w:val="00A2753B"/>
    <w:rsid w:val="00A56BAE"/>
    <w:rsid w:val="00A61351"/>
    <w:rsid w:val="00A62E16"/>
    <w:rsid w:val="00A82A25"/>
    <w:rsid w:val="00A82ED7"/>
    <w:rsid w:val="00A86FCE"/>
    <w:rsid w:val="00A9756D"/>
    <w:rsid w:val="00AB6DCB"/>
    <w:rsid w:val="00AD1C2D"/>
    <w:rsid w:val="00AD4E17"/>
    <w:rsid w:val="00AE3963"/>
    <w:rsid w:val="00AE5883"/>
    <w:rsid w:val="00AF361A"/>
    <w:rsid w:val="00B15F24"/>
    <w:rsid w:val="00B32B87"/>
    <w:rsid w:val="00B34311"/>
    <w:rsid w:val="00B363C7"/>
    <w:rsid w:val="00B630DC"/>
    <w:rsid w:val="00B65C9C"/>
    <w:rsid w:val="00BD70FA"/>
    <w:rsid w:val="00BE74F9"/>
    <w:rsid w:val="00BF2C6C"/>
    <w:rsid w:val="00BF2E9F"/>
    <w:rsid w:val="00BF641E"/>
    <w:rsid w:val="00C038A9"/>
    <w:rsid w:val="00C07CCA"/>
    <w:rsid w:val="00C25767"/>
    <w:rsid w:val="00C501D5"/>
    <w:rsid w:val="00C610DB"/>
    <w:rsid w:val="00C80800"/>
    <w:rsid w:val="00C95576"/>
    <w:rsid w:val="00CA6F1C"/>
    <w:rsid w:val="00CB4D1C"/>
    <w:rsid w:val="00CE0DFE"/>
    <w:rsid w:val="00CF4831"/>
    <w:rsid w:val="00D55BD2"/>
    <w:rsid w:val="00D63863"/>
    <w:rsid w:val="00D76767"/>
    <w:rsid w:val="00D83B0E"/>
    <w:rsid w:val="00DA604D"/>
    <w:rsid w:val="00DB481C"/>
    <w:rsid w:val="00DD305E"/>
    <w:rsid w:val="00DE1D46"/>
    <w:rsid w:val="00DF2CA1"/>
    <w:rsid w:val="00DF38C8"/>
    <w:rsid w:val="00E02916"/>
    <w:rsid w:val="00E174C7"/>
    <w:rsid w:val="00E2568E"/>
    <w:rsid w:val="00E41CCF"/>
    <w:rsid w:val="00E56FD0"/>
    <w:rsid w:val="00E61A0F"/>
    <w:rsid w:val="00E80E11"/>
    <w:rsid w:val="00E83D58"/>
    <w:rsid w:val="00E97DDA"/>
    <w:rsid w:val="00EA7A5A"/>
    <w:rsid w:val="00EC08AF"/>
    <w:rsid w:val="00EC1E80"/>
    <w:rsid w:val="00ED0F1D"/>
    <w:rsid w:val="00EF18A6"/>
    <w:rsid w:val="00F208C9"/>
    <w:rsid w:val="00F277F4"/>
    <w:rsid w:val="00F45AF6"/>
    <w:rsid w:val="00F4675D"/>
    <w:rsid w:val="00F46D45"/>
    <w:rsid w:val="00F833AC"/>
    <w:rsid w:val="00FC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9C213"/>
  <w15:chartTrackingRefBased/>
  <w15:docId w15:val="{69B5D50B-53FB-584B-A5D9-DC64251A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="Times New Roman (Headings CS)"/>
        <w:bCs/>
        <w:color w:val="000000" w:themeColor="text1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54BFB"/>
    <w:rPr>
      <w:rFonts w:ascii="NimbusRomNo9L-MediItal" w:hAnsi="NimbusRomNo9L-MediItal" w:hint="default"/>
      <w:b w:val="0"/>
      <w:bCs/>
      <w:i/>
      <w:i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54BFB"/>
    <w:rPr>
      <w:rFonts w:ascii="NimbusRomNo9L-Regu" w:hAnsi="NimbusRomNo9L-Regu" w:hint="default"/>
      <w:b w:val="0"/>
      <w:bCs/>
      <w:i w:val="0"/>
      <w:iCs w:val="0"/>
      <w:color w:val="000000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25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 Midway</dc:creator>
  <cp:keywords/>
  <dc:description/>
  <cp:lastModifiedBy>Stephen R Midway</cp:lastModifiedBy>
  <cp:revision>1</cp:revision>
  <dcterms:created xsi:type="dcterms:W3CDTF">2020-10-03T17:35:00Z</dcterms:created>
  <dcterms:modified xsi:type="dcterms:W3CDTF">2020-10-03T17:36:00Z</dcterms:modified>
</cp:coreProperties>
</file>