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25" w:rsidRPr="003C3FFB" w:rsidRDefault="00651825" w:rsidP="00EA042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3C3FFB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Table S1</w:t>
      </w:r>
      <w:r w:rsidR="003E510B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S</w:t>
      </w:r>
      <w:r w:rsidRPr="003C3FFB">
        <w:rPr>
          <w:rFonts w:ascii="Times New Roman" w:eastAsia="Calibri" w:hAnsi="Times New Roman" w:cs="Times New Roman"/>
          <w:sz w:val="24"/>
          <w:szCs w:val="24"/>
          <w:lang w:bidi="ar-SA"/>
        </w:rPr>
        <w:t>equence of oligonucleotide primers used f</w:t>
      </w:r>
      <w:bookmarkStart w:id="0" w:name="_GoBack"/>
      <w:bookmarkEnd w:id="0"/>
      <w:r w:rsidRPr="003C3FFB">
        <w:rPr>
          <w:rFonts w:ascii="Times New Roman" w:eastAsia="Calibri" w:hAnsi="Times New Roman" w:cs="Times New Roman"/>
          <w:sz w:val="24"/>
          <w:szCs w:val="24"/>
          <w:lang w:bidi="ar-SA"/>
        </w:rPr>
        <w:t>or detection of the phylogenetic groups</w:t>
      </w:r>
      <w:r w:rsidR="00EA0429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(</w:t>
      </w:r>
      <w:r w:rsidR="00EA0429"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Clermont</w:t>
      </w:r>
      <w:r w:rsidR="00EA0429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et al., 2013)</w:t>
      </w:r>
    </w:p>
    <w:tbl>
      <w:tblPr>
        <w:tblStyle w:val="TableGrid"/>
        <w:tblW w:w="9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1236"/>
        <w:gridCol w:w="1433"/>
        <w:gridCol w:w="4054"/>
        <w:gridCol w:w="1049"/>
      </w:tblGrid>
      <w:tr w:rsidR="00651825" w:rsidRPr="003C3FFB" w:rsidTr="00D636B9">
        <w:trPr>
          <w:jc w:val="center"/>
        </w:trPr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PCR reaction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Target gene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Primer ID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Primer sequences (5′-3′)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b/>
                <w:bCs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Product size (</w:t>
            </w:r>
            <w:proofErr w:type="spellStart"/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bp</w:t>
            </w:r>
            <w:proofErr w:type="spellEnd"/>
            <w:r w:rsidRPr="003C3FFB">
              <w:rPr>
                <w:rFonts w:ascii="Times New Roman" w:eastAsia="Calibri" w:hAnsi="Times New Roman" w:cs="Times New Roman"/>
                <w:b/>
                <w:bCs/>
                <w:szCs w:val="22"/>
              </w:rPr>
              <w:t>)</w:t>
            </w:r>
          </w:p>
        </w:tc>
      </w:tr>
      <w:tr w:rsidR="00651825" w:rsidRPr="003C3FFB" w:rsidTr="00D636B9">
        <w:trPr>
          <w:trHeight w:val="206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Quadruplex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color w:val="000000"/>
                <w:szCs w:val="22"/>
              </w:rPr>
              <w:t>chuA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chuA.1b</w:t>
            </w: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ATGGTACCGGACGAACCAAC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</w:tcBorders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288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chuA.2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TGCCGCCAGTACCAAAGACA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yjaA</w:t>
            </w:r>
            <w:proofErr w:type="spellEnd"/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yjaA.1b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CAAACGTGAAGTGTCAGGAG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211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yjaA.2b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AATGCGTTCCTCAACCTGTG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TspE4.C2</w:t>
            </w: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TspE4C2.1b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CACTATTCGTAAGGTCATCC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152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TspE4C2.2b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AGTTTATCGCTGCGGGTCGC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arpA</w:t>
            </w:r>
            <w:proofErr w:type="spellEnd"/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AceK.f</w:t>
            </w:r>
            <w:proofErr w:type="spellEnd"/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AACGCTATTCGCCAGCTTGC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400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ArpA1.r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TCTCCCCATACCGTACGCTA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Group E</w:t>
            </w: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arpA</w:t>
            </w:r>
            <w:proofErr w:type="spellEnd"/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ArpAgpE.f</w:t>
            </w:r>
            <w:proofErr w:type="spellEnd"/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GATTCCATCTTGTCAAAATATGCC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301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ArpAgpE.r</w:t>
            </w:r>
            <w:proofErr w:type="spellEnd"/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GAAAAGAAAAAGAATTCCCAAGAG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Group C</w:t>
            </w: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trpA</w:t>
            </w:r>
            <w:proofErr w:type="spellEnd"/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trpAgpC.1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AGTTTTATGCCCAGTGCGAG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219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trpAgpC.2</w:t>
            </w:r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TCTGCGCCGGTCACGCCC</w:t>
            </w:r>
          </w:p>
        </w:tc>
        <w:tc>
          <w:tcPr>
            <w:tcW w:w="1049" w:type="dxa"/>
            <w:vMerge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Internal control</w:t>
            </w:r>
          </w:p>
        </w:tc>
        <w:tc>
          <w:tcPr>
            <w:tcW w:w="1236" w:type="dxa"/>
            <w:vMerge w:val="restart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i/>
                <w:iCs/>
                <w:szCs w:val="22"/>
              </w:rPr>
              <w:t>trpA</w:t>
            </w:r>
            <w:proofErr w:type="spellEnd"/>
          </w:p>
        </w:tc>
        <w:tc>
          <w:tcPr>
            <w:tcW w:w="1433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trpBA.f</w:t>
            </w:r>
            <w:proofErr w:type="spellEnd"/>
          </w:p>
        </w:tc>
        <w:tc>
          <w:tcPr>
            <w:tcW w:w="4054" w:type="dxa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CGGCGATAAAGACATCTTCAC</w:t>
            </w:r>
          </w:p>
        </w:tc>
        <w:tc>
          <w:tcPr>
            <w:tcW w:w="1049" w:type="dxa"/>
            <w:vMerge w:val="restart"/>
            <w:vAlign w:val="center"/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489</w:t>
            </w:r>
          </w:p>
        </w:tc>
      </w:tr>
      <w:tr w:rsidR="00651825" w:rsidRPr="003C3FFB" w:rsidTr="00D636B9">
        <w:trPr>
          <w:jc w:val="center"/>
        </w:trPr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Cs w:val="22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proofErr w:type="spellStart"/>
            <w:r w:rsidRPr="003C3FFB">
              <w:rPr>
                <w:rFonts w:ascii="Times New Roman" w:eastAsia="Calibri" w:hAnsi="Times New Roman" w:cs="Times New Roman"/>
                <w:szCs w:val="22"/>
              </w:rPr>
              <w:t>trpBA.r</w:t>
            </w:r>
            <w:proofErr w:type="spellEnd"/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Times New Roman" w:eastAsia="Calibri" w:hAnsi="Times New Roman" w:cs="Times New Roman"/>
                <w:szCs w:val="22"/>
              </w:rPr>
            </w:pPr>
            <w:r w:rsidRPr="003C3FFB">
              <w:rPr>
                <w:rFonts w:ascii="Times New Roman" w:eastAsia="Calibri" w:hAnsi="Times New Roman" w:cs="Times New Roman"/>
                <w:szCs w:val="22"/>
              </w:rPr>
              <w:t>GCAACGCGGCCTGGCGGAAG</w:t>
            </w: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651825" w:rsidRPr="003C3FFB" w:rsidRDefault="00651825" w:rsidP="00EA0429">
            <w:pPr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651825" w:rsidRPr="003C3FFB" w:rsidRDefault="00651825" w:rsidP="00EA0429">
      <w:pPr>
        <w:spacing w:after="0" w:line="480" w:lineRule="auto"/>
        <w:rPr>
          <w:rFonts w:ascii="Times New Roman" w:eastAsia="Calibri" w:hAnsi="Times New Roman" w:cs="Times New Roman"/>
          <w:b/>
          <w:sz w:val="28"/>
          <w:lang w:bidi="ar-SA"/>
        </w:rPr>
      </w:pPr>
    </w:p>
    <w:p w:rsidR="00EA0429" w:rsidRPr="00F65EC4" w:rsidRDefault="00EA0429" w:rsidP="00EA0429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ar-SA"/>
        </w:rPr>
      </w:pPr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Clermont O, Christenson JK, </w:t>
      </w:r>
      <w:proofErr w:type="spellStart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Denamur</w:t>
      </w:r>
      <w:proofErr w:type="spellEnd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E, Gordon DM. 2013. The Clermont </w:t>
      </w:r>
      <w:r w:rsidRPr="00F65EC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 xml:space="preserve">Escherichia </w:t>
      </w:r>
      <w:r w:rsidRPr="00F65EC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bidi="ar-SA"/>
        </w:rPr>
        <w:tab/>
        <w:t>coli</w:t>
      </w:r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ab/>
      </w:r>
      <w:proofErr w:type="spellStart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phylo</w:t>
      </w:r>
      <w:proofErr w:type="spellEnd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-typing method revisited: improvement of sp</w:t>
      </w:r>
      <w:r w:rsidR="00CB1C20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ecificity and detection of new </w:t>
      </w:r>
      <w:proofErr w:type="spellStart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phylo</w:t>
      </w:r>
      <w:proofErr w:type="spellEnd"/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ab/>
      </w:r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groups. </w:t>
      </w:r>
      <w:r w:rsidRPr="00F65EC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bidi="ar-SA"/>
        </w:rPr>
        <w:t>Environmental microbiology reports</w:t>
      </w:r>
      <w:r w:rsidRPr="00F65EC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bidi="ar-SA"/>
        </w:rPr>
        <w:t> 5(1):58–65.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 DOI: 10.1111/1758-</w:t>
      </w:r>
      <w:r w:rsidRPr="00F65EC4">
        <w:rPr>
          <w:rFonts w:ascii="Times New Roman" w:eastAsia="Calibri" w:hAnsi="Times New Roman" w:cs="Times New Roman"/>
          <w:color w:val="000000"/>
          <w:sz w:val="24"/>
          <w:szCs w:val="24"/>
          <w:lang w:bidi="ar-SA"/>
        </w:rPr>
        <w:t xml:space="preserve">2229.12019 </w:t>
      </w:r>
    </w:p>
    <w:p w:rsidR="00BE1431" w:rsidRPr="00651825" w:rsidRDefault="002D0DD9" w:rsidP="00651825"/>
    <w:sectPr w:rsidR="00BE1431" w:rsidRPr="0065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25"/>
    <w:rsid w:val="002D0DD9"/>
    <w:rsid w:val="003E510B"/>
    <w:rsid w:val="00651825"/>
    <w:rsid w:val="009305EE"/>
    <w:rsid w:val="00C0086B"/>
    <w:rsid w:val="00CB1C20"/>
    <w:rsid w:val="00E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85203-FBD6-4403-8FCF-1CA22494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2020-08-10T15:12:00Z</dcterms:created>
  <dcterms:modified xsi:type="dcterms:W3CDTF">2020-10-17T07:22:00Z</dcterms:modified>
</cp:coreProperties>
</file>