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7A2A" w14:textId="77777777" w:rsidR="00F84C58" w:rsidRPr="0065496E" w:rsidRDefault="00F84C58" w:rsidP="00F84C58">
      <w:pPr>
        <w:pStyle w:val="BodyText"/>
        <w:spacing w:before="1" w:line="276" w:lineRule="auto"/>
        <w:ind w:right="872"/>
        <w:rPr>
          <w:rFonts w:ascii="Times" w:hAnsi="Times" w:cstheme="minorHAnsi"/>
          <w:sz w:val="20"/>
          <w:szCs w:val="20"/>
          <w:lang w:val="en-GB"/>
        </w:rPr>
      </w:pPr>
      <w:r w:rsidRPr="0065496E">
        <w:rPr>
          <w:rFonts w:ascii="Times" w:hAnsi="Times" w:cstheme="minorHAnsi"/>
          <w:b/>
          <w:sz w:val="20"/>
          <w:szCs w:val="20"/>
          <w:lang w:val="en-GB"/>
        </w:rPr>
        <w:t>S1 Table</w:t>
      </w:r>
      <w:r w:rsidRPr="0065496E">
        <w:rPr>
          <w:rFonts w:ascii="Times" w:hAnsi="Times" w:cstheme="minorHAnsi"/>
          <w:sz w:val="20"/>
          <w:szCs w:val="20"/>
          <w:lang w:val="en-GB"/>
        </w:rPr>
        <w:t xml:space="preserve">. Comparison between </w:t>
      </w:r>
      <w:proofErr w:type="spellStart"/>
      <w:r w:rsidRPr="0065496E">
        <w:rPr>
          <w:rFonts w:ascii="Times" w:hAnsi="Times" w:cstheme="minorHAnsi"/>
          <w:i/>
          <w:sz w:val="20"/>
          <w:szCs w:val="20"/>
          <w:lang w:val="en-GB"/>
        </w:rPr>
        <w:t>BingleSeq</w:t>
      </w:r>
      <w:r w:rsidRPr="0065496E">
        <w:rPr>
          <w:rFonts w:ascii="Times" w:hAnsi="Times" w:cstheme="minorHAnsi"/>
          <w:sz w:val="20"/>
          <w:szCs w:val="20"/>
          <w:lang w:val="en-GB"/>
        </w:rPr>
        <w:t>’s</w:t>
      </w:r>
      <w:proofErr w:type="spellEnd"/>
      <w:r w:rsidRPr="0065496E">
        <w:rPr>
          <w:rFonts w:ascii="Times" w:hAnsi="Times" w:cstheme="minorHAnsi"/>
          <w:sz w:val="20"/>
          <w:szCs w:val="20"/>
          <w:lang w:val="en-GB"/>
        </w:rPr>
        <w:t xml:space="preserve"> Bulk RNA-</w:t>
      </w:r>
      <w:proofErr w:type="spellStart"/>
      <w:r w:rsidRPr="0065496E">
        <w:rPr>
          <w:rFonts w:ascii="Times" w:hAnsi="Times" w:cstheme="minorHAnsi"/>
          <w:sz w:val="20"/>
          <w:szCs w:val="20"/>
          <w:lang w:val="en-GB"/>
        </w:rPr>
        <w:t>Seq</w:t>
      </w:r>
      <w:proofErr w:type="spellEnd"/>
      <w:r w:rsidRPr="0065496E">
        <w:rPr>
          <w:rFonts w:ascii="Times" w:hAnsi="Times" w:cstheme="minorHAnsi"/>
          <w:sz w:val="20"/>
          <w:szCs w:val="20"/>
          <w:lang w:val="en-GB"/>
        </w:rPr>
        <w:t xml:space="preserve"> pipeline and other similar applications.</w:t>
      </w:r>
    </w:p>
    <w:tbl>
      <w:tblPr>
        <w:tblpPr w:leftFromText="180" w:rightFromText="180" w:vertAnchor="text" w:horzAnchor="margin" w:tblpY="235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1404"/>
        <w:gridCol w:w="1476"/>
        <w:gridCol w:w="1296"/>
        <w:gridCol w:w="1653"/>
      </w:tblGrid>
      <w:tr w:rsidR="00F84C58" w:rsidRPr="0065496E" w14:paraId="1DA8B692" w14:textId="77777777" w:rsidTr="00C416DF">
        <w:trPr>
          <w:trHeight w:val="350"/>
        </w:trPr>
        <w:tc>
          <w:tcPr>
            <w:tcW w:w="2935" w:type="dxa"/>
          </w:tcPr>
          <w:p w14:paraId="25016AD0" w14:textId="77777777" w:rsidR="00F84C58" w:rsidRPr="0065496E" w:rsidRDefault="00F84C58" w:rsidP="00C416DF">
            <w:pPr>
              <w:pStyle w:val="TableParagraph"/>
              <w:spacing w:before="73" w:line="276" w:lineRule="auto"/>
              <w:ind w:left="134" w:right="116"/>
              <w:jc w:val="left"/>
              <w:rPr>
                <w:rFonts w:ascii="Times" w:hAnsi="Times" w:cstheme="minorHAnsi"/>
                <w:b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b/>
                <w:sz w:val="20"/>
                <w:szCs w:val="20"/>
                <w:lang w:val="en-GB"/>
              </w:rPr>
              <w:t>Functionality</w:t>
            </w:r>
          </w:p>
        </w:tc>
        <w:tc>
          <w:tcPr>
            <w:tcW w:w="1404" w:type="dxa"/>
          </w:tcPr>
          <w:p w14:paraId="426B60F7" w14:textId="77777777" w:rsidR="00F84C58" w:rsidRPr="0065496E" w:rsidRDefault="00F84C58" w:rsidP="00C416DF">
            <w:pPr>
              <w:pStyle w:val="TableParagraph"/>
              <w:spacing w:before="73" w:line="276" w:lineRule="auto"/>
              <w:ind w:left="210" w:right="206"/>
              <w:jc w:val="left"/>
              <w:rPr>
                <w:rFonts w:ascii="Times" w:hAnsi="Times" w:cstheme="minorHAnsi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65496E">
              <w:rPr>
                <w:rFonts w:ascii="Times" w:hAnsi="Times" w:cstheme="minorHAnsi"/>
                <w:b/>
                <w:i/>
                <w:sz w:val="20"/>
                <w:szCs w:val="20"/>
                <w:lang w:val="en-GB"/>
              </w:rPr>
              <w:t>BingleSeq</w:t>
            </w:r>
            <w:proofErr w:type="spellEnd"/>
          </w:p>
        </w:tc>
        <w:tc>
          <w:tcPr>
            <w:tcW w:w="1476" w:type="dxa"/>
          </w:tcPr>
          <w:p w14:paraId="2C73AE6F" w14:textId="77777777" w:rsidR="00F84C58" w:rsidRPr="0065496E" w:rsidRDefault="00F84C58" w:rsidP="00C416DF">
            <w:pPr>
              <w:pStyle w:val="TableParagraph"/>
              <w:spacing w:before="73" w:line="276" w:lineRule="auto"/>
              <w:ind w:left="376" w:right="368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65496E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DEapp</w:t>
            </w:r>
            <w:proofErr w:type="spellEnd"/>
          </w:p>
        </w:tc>
        <w:tc>
          <w:tcPr>
            <w:tcW w:w="1296" w:type="dxa"/>
          </w:tcPr>
          <w:p w14:paraId="6CF7B5D5" w14:textId="77777777" w:rsidR="00F84C58" w:rsidRPr="0065496E" w:rsidRDefault="00F84C58" w:rsidP="00C416DF">
            <w:pPr>
              <w:pStyle w:val="TableParagraph"/>
              <w:spacing w:before="73" w:line="276" w:lineRule="auto"/>
              <w:ind w:left="101" w:right="95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proofErr w:type="spellStart"/>
            <w:r w:rsidRPr="0065496E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DEBrowser</w:t>
            </w:r>
            <w:proofErr w:type="spellEnd"/>
          </w:p>
        </w:tc>
        <w:tc>
          <w:tcPr>
            <w:tcW w:w="1653" w:type="dxa"/>
          </w:tcPr>
          <w:p w14:paraId="7607A097" w14:textId="77777777" w:rsidR="00F84C58" w:rsidRPr="0065496E" w:rsidRDefault="00F84C58" w:rsidP="00C416DF">
            <w:pPr>
              <w:pStyle w:val="TableParagraph"/>
              <w:spacing w:line="276" w:lineRule="auto"/>
              <w:ind w:left="0" w:right="137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Omics Playground</w:t>
            </w:r>
          </w:p>
        </w:tc>
      </w:tr>
      <w:tr w:rsidR="00F84C58" w:rsidRPr="0065496E" w14:paraId="6E9AE065" w14:textId="77777777" w:rsidTr="00C416DF">
        <w:trPr>
          <w:trHeight w:val="303"/>
        </w:trPr>
        <w:tc>
          <w:tcPr>
            <w:tcW w:w="2935" w:type="dxa"/>
          </w:tcPr>
          <w:p w14:paraId="6C70C04D" w14:textId="77777777" w:rsidR="00F84C58" w:rsidRPr="0065496E" w:rsidRDefault="00F84C58" w:rsidP="00C416DF">
            <w:pPr>
              <w:pStyle w:val="TableParagraph"/>
              <w:spacing w:line="276" w:lineRule="auto"/>
              <w:ind w:left="139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Filter Low Gene Counts</w:t>
            </w:r>
          </w:p>
        </w:tc>
        <w:tc>
          <w:tcPr>
            <w:tcW w:w="1404" w:type="dxa"/>
            <w:shd w:val="clear" w:color="auto" w:fill="auto"/>
          </w:tcPr>
          <w:p w14:paraId="3C8E2BD4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3534468C" w14:textId="77777777" w:rsidR="00F84C58" w:rsidRPr="0065496E" w:rsidRDefault="00F84C58" w:rsidP="00C416DF">
            <w:pPr>
              <w:pStyle w:val="TableParagraph"/>
              <w:spacing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31833D3B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12D0C825" w14:textId="77777777" w:rsidR="00F84C58" w:rsidRPr="0065496E" w:rsidRDefault="00F84C58" w:rsidP="00C416DF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1FC9E2E9" w14:textId="77777777" w:rsidTr="00C416DF">
        <w:trPr>
          <w:trHeight w:val="298"/>
        </w:trPr>
        <w:tc>
          <w:tcPr>
            <w:tcW w:w="2935" w:type="dxa"/>
          </w:tcPr>
          <w:p w14:paraId="469F824B" w14:textId="77777777" w:rsidR="00F84C58" w:rsidRPr="0065496E" w:rsidRDefault="00F84C58" w:rsidP="00C416DF">
            <w:pPr>
              <w:pStyle w:val="TableParagraph"/>
              <w:spacing w:line="276" w:lineRule="auto"/>
              <w:ind w:left="131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Batch-effect Correction</w:t>
            </w:r>
          </w:p>
        </w:tc>
        <w:tc>
          <w:tcPr>
            <w:tcW w:w="1404" w:type="dxa"/>
            <w:shd w:val="clear" w:color="auto" w:fill="auto"/>
          </w:tcPr>
          <w:p w14:paraId="70565DF8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3C5FF46C" w14:textId="77777777" w:rsidR="00F84C58" w:rsidRPr="0065496E" w:rsidRDefault="00F84C58" w:rsidP="00C416DF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14:paraId="48309A7E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0BA3A3A7" w14:textId="77777777" w:rsidR="00F84C58" w:rsidRPr="0065496E" w:rsidRDefault="00F84C58" w:rsidP="00C416DF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454C0783" w14:textId="77777777" w:rsidTr="00C416DF">
        <w:trPr>
          <w:trHeight w:val="298"/>
        </w:trPr>
        <w:tc>
          <w:tcPr>
            <w:tcW w:w="2935" w:type="dxa"/>
          </w:tcPr>
          <w:p w14:paraId="1F12C2B0" w14:textId="77777777" w:rsidR="00F84C58" w:rsidRPr="0065496E" w:rsidRDefault="00F84C58" w:rsidP="00C416DF">
            <w:pPr>
              <w:pStyle w:val="TableParagraph"/>
              <w:spacing w:line="276" w:lineRule="auto"/>
              <w:ind w:left="136" w:right="116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Implements </w:t>
            </w:r>
            <w:r w:rsidRPr="0065496E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DESeq2</w:t>
            </w:r>
          </w:p>
        </w:tc>
        <w:tc>
          <w:tcPr>
            <w:tcW w:w="1404" w:type="dxa"/>
            <w:shd w:val="clear" w:color="auto" w:fill="auto"/>
          </w:tcPr>
          <w:p w14:paraId="2DC39CB3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b/>
                <w:bCs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445F52CC" w14:textId="77777777" w:rsidR="00F84C58" w:rsidRPr="0065496E" w:rsidRDefault="00F84C58" w:rsidP="00C416DF">
            <w:pPr>
              <w:pStyle w:val="TableParagraph"/>
              <w:spacing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17F838CC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28A7B809" w14:textId="77777777" w:rsidR="00F84C58" w:rsidRPr="0065496E" w:rsidRDefault="00F84C58" w:rsidP="00C416DF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3AF1B670" w14:textId="77777777" w:rsidTr="00C416DF">
        <w:trPr>
          <w:trHeight w:val="303"/>
        </w:trPr>
        <w:tc>
          <w:tcPr>
            <w:tcW w:w="2935" w:type="dxa"/>
          </w:tcPr>
          <w:p w14:paraId="10C9090E" w14:textId="77777777" w:rsidR="00F84C58" w:rsidRPr="0065496E" w:rsidRDefault="00F84C58" w:rsidP="00C416DF">
            <w:pPr>
              <w:pStyle w:val="TableParagraph"/>
              <w:spacing w:before="6" w:line="276" w:lineRule="auto"/>
              <w:ind w:left="139" w:right="116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Implements </w:t>
            </w:r>
            <w:proofErr w:type="spellStart"/>
            <w:r w:rsidRPr="0065496E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EdgeR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0B6D171C" w14:textId="77777777" w:rsidR="00F84C58" w:rsidRPr="0065496E" w:rsidRDefault="00F84C58" w:rsidP="00C416DF">
            <w:pPr>
              <w:pStyle w:val="TableParagraph"/>
              <w:spacing w:before="6"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731C4969" w14:textId="77777777" w:rsidR="00F84C58" w:rsidRPr="0065496E" w:rsidRDefault="00F84C58" w:rsidP="00C416DF">
            <w:pPr>
              <w:pStyle w:val="TableParagraph"/>
              <w:spacing w:before="6"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1F3942D9" w14:textId="77777777" w:rsidR="00F84C58" w:rsidRPr="0065496E" w:rsidRDefault="00F84C58" w:rsidP="00C416DF">
            <w:pPr>
              <w:pStyle w:val="TableParagraph"/>
              <w:spacing w:before="6"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72C6427D" w14:textId="77777777" w:rsidR="00F84C58" w:rsidRPr="0065496E" w:rsidRDefault="00F84C58" w:rsidP="00C416DF">
            <w:pPr>
              <w:pStyle w:val="TableParagraph"/>
              <w:spacing w:before="6"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223F1C17" w14:textId="77777777" w:rsidTr="00C416DF">
        <w:trPr>
          <w:trHeight w:val="298"/>
        </w:trPr>
        <w:tc>
          <w:tcPr>
            <w:tcW w:w="2935" w:type="dxa"/>
          </w:tcPr>
          <w:p w14:paraId="65F0B86F" w14:textId="77777777" w:rsidR="00F84C58" w:rsidRPr="0065496E" w:rsidRDefault="00F84C58" w:rsidP="00C416DF">
            <w:pPr>
              <w:pStyle w:val="TableParagraph"/>
              <w:spacing w:line="276" w:lineRule="auto"/>
              <w:ind w:left="139" w:right="113"/>
              <w:jc w:val="left"/>
              <w:rPr>
                <w:rFonts w:ascii="Times" w:hAnsi="Times" w:cstheme="minorHAnsi"/>
                <w:i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Implements </w:t>
            </w:r>
            <w:proofErr w:type="spellStart"/>
            <w:r w:rsidRPr="0065496E">
              <w:rPr>
                <w:rFonts w:ascii="Times" w:hAnsi="Times" w:cstheme="minorHAnsi"/>
                <w:i/>
                <w:sz w:val="20"/>
                <w:szCs w:val="20"/>
                <w:lang w:val="en-GB"/>
              </w:rPr>
              <w:t>limma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5EE05AAE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6003B5AD" w14:textId="77777777" w:rsidR="00F84C58" w:rsidRPr="0065496E" w:rsidRDefault="00F84C58" w:rsidP="00C416DF">
            <w:pPr>
              <w:pStyle w:val="TableParagraph"/>
              <w:spacing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095DA057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67DCF20F" w14:textId="77777777" w:rsidR="00F84C58" w:rsidRPr="0065496E" w:rsidRDefault="00F84C58" w:rsidP="00C416DF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07ECED9A" w14:textId="77777777" w:rsidTr="00C416DF">
        <w:trPr>
          <w:trHeight w:val="303"/>
        </w:trPr>
        <w:tc>
          <w:tcPr>
            <w:tcW w:w="2935" w:type="dxa"/>
          </w:tcPr>
          <w:p w14:paraId="6A2574BF" w14:textId="77777777" w:rsidR="00F84C58" w:rsidRPr="0065496E" w:rsidRDefault="00F84C58" w:rsidP="00C416DF">
            <w:pPr>
              <w:pStyle w:val="TableParagraph"/>
              <w:spacing w:line="276" w:lineRule="auto"/>
              <w:ind w:left="137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Additional DE methods</w:t>
            </w:r>
          </w:p>
        </w:tc>
        <w:tc>
          <w:tcPr>
            <w:tcW w:w="1404" w:type="dxa"/>
            <w:shd w:val="clear" w:color="auto" w:fill="auto"/>
          </w:tcPr>
          <w:p w14:paraId="39FCADC9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  <w:shd w:val="clear" w:color="auto" w:fill="auto"/>
          </w:tcPr>
          <w:p w14:paraId="2DA3CF2A" w14:textId="77777777" w:rsidR="00F84C58" w:rsidRPr="0065496E" w:rsidRDefault="00F84C58" w:rsidP="00C416DF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14:paraId="004F3B41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7AA0DA8B" w14:textId="77777777" w:rsidR="00F84C58" w:rsidRPr="0065496E" w:rsidRDefault="00F84C58" w:rsidP="00C416DF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62F3DA05" w14:textId="77777777" w:rsidTr="00C416DF">
        <w:trPr>
          <w:trHeight w:val="298"/>
        </w:trPr>
        <w:tc>
          <w:tcPr>
            <w:tcW w:w="2935" w:type="dxa"/>
          </w:tcPr>
          <w:p w14:paraId="2763EC69" w14:textId="77777777" w:rsidR="00F84C58" w:rsidRPr="0065496E" w:rsidRDefault="00F84C58" w:rsidP="00C416DF">
            <w:pPr>
              <w:pStyle w:val="TableParagraph"/>
              <w:spacing w:line="276" w:lineRule="auto"/>
              <w:ind w:left="139" w:right="114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PCA plot</w:t>
            </w:r>
          </w:p>
        </w:tc>
        <w:tc>
          <w:tcPr>
            <w:tcW w:w="1404" w:type="dxa"/>
            <w:shd w:val="clear" w:color="auto" w:fill="auto"/>
          </w:tcPr>
          <w:p w14:paraId="3F714C37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7885AC2C" w14:textId="77777777" w:rsidR="00F84C58" w:rsidRPr="0065496E" w:rsidRDefault="00F84C58" w:rsidP="00C416DF">
            <w:pPr>
              <w:pStyle w:val="TableParagraph"/>
              <w:spacing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3B2B1E27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003095EA" w14:textId="77777777" w:rsidR="00F84C58" w:rsidRPr="0065496E" w:rsidRDefault="00F84C58" w:rsidP="00C416DF">
            <w:pPr>
              <w:pStyle w:val="TableParagraph"/>
              <w:spacing w:line="276" w:lineRule="auto"/>
              <w:ind w:left="124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72BFE091" w14:textId="77777777" w:rsidTr="00C416DF">
        <w:trPr>
          <w:trHeight w:val="303"/>
        </w:trPr>
        <w:tc>
          <w:tcPr>
            <w:tcW w:w="2935" w:type="dxa"/>
          </w:tcPr>
          <w:p w14:paraId="3FFFCB82" w14:textId="77777777" w:rsidR="00F84C58" w:rsidRPr="0065496E" w:rsidRDefault="00F84C58" w:rsidP="00C416DF">
            <w:pPr>
              <w:pStyle w:val="TableParagraph"/>
              <w:spacing w:line="276" w:lineRule="auto"/>
              <w:ind w:left="136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 xml:space="preserve">Summary </w:t>
            </w:r>
            <w:proofErr w:type="spellStart"/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Barchart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532F0C59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4EF98F2B" w14:textId="77777777" w:rsidR="00F84C58" w:rsidRPr="0065496E" w:rsidRDefault="00F84C58" w:rsidP="00C416DF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14:paraId="56F6407B" w14:textId="77777777" w:rsidR="00F84C58" w:rsidRPr="0065496E" w:rsidRDefault="00F84C58" w:rsidP="00C416DF">
            <w:pPr>
              <w:pStyle w:val="TableParagraph"/>
              <w:spacing w:line="276" w:lineRule="auto"/>
              <w:ind w:left="101" w:right="9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014A30C" w14:textId="77777777" w:rsidR="00F84C58" w:rsidRPr="0065496E" w:rsidRDefault="00F84C58" w:rsidP="00C416DF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599B8453" w14:textId="77777777" w:rsidTr="00C416DF">
        <w:trPr>
          <w:trHeight w:val="299"/>
        </w:trPr>
        <w:tc>
          <w:tcPr>
            <w:tcW w:w="2935" w:type="dxa"/>
          </w:tcPr>
          <w:p w14:paraId="46171961" w14:textId="77777777" w:rsidR="00F84C58" w:rsidRPr="0065496E" w:rsidRDefault="00F84C58" w:rsidP="00C416DF">
            <w:pPr>
              <w:pStyle w:val="TableParagraph"/>
              <w:spacing w:before="2" w:line="276" w:lineRule="auto"/>
              <w:ind w:left="139" w:right="11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MA plot</w:t>
            </w:r>
          </w:p>
        </w:tc>
        <w:tc>
          <w:tcPr>
            <w:tcW w:w="1404" w:type="dxa"/>
            <w:shd w:val="clear" w:color="auto" w:fill="auto"/>
          </w:tcPr>
          <w:p w14:paraId="7F357E11" w14:textId="77777777" w:rsidR="00F84C58" w:rsidRPr="0065496E" w:rsidRDefault="00F84C58" w:rsidP="00C416DF">
            <w:pPr>
              <w:pStyle w:val="TableParagraph"/>
              <w:spacing w:before="2"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42325E97" w14:textId="77777777" w:rsidR="00F84C58" w:rsidRPr="0065496E" w:rsidRDefault="00F84C58" w:rsidP="00C416DF">
            <w:pPr>
              <w:pStyle w:val="TableParagraph"/>
              <w:spacing w:before="2" w:line="276" w:lineRule="auto"/>
              <w:ind w:left="379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14:paraId="2163AFFB" w14:textId="77777777" w:rsidR="00F84C58" w:rsidRPr="0065496E" w:rsidRDefault="00F84C58" w:rsidP="00C416DF">
            <w:pPr>
              <w:pStyle w:val="TableParagraph"/>
              <w:spacing w:before="2"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086303F5" w14:textId="77777777" w:rsidR="00F84C58" w:rsidRPr="0065496E" w:rsidRDefault="00F84C58" w:rsidP="00C416DF">
            <w:pPr>
              <w:pStyle w:val="TableParagraph"/>
              <w:spacing w:before="2"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53322320" w14:textId="77777777" w:rsidTr="00C416DF">
        <w:trPr>
          <w:trHeight w:val="298"/>
        </w:trPr>
        <w:tc>
          <w:tcPr>
            <w:tcW w:w="2935" w:type="dxa"/>
          </w:tcPr>
          <w:p w14:paraId="3E305871" w14:textId="77777777" w:rsidR="00F84C58" w:rsidRPr="0065496E" w:rsidRDefault="00F84C58" w:rsidP="00C416DF">
            <w:pPr>
              <w:pStyle w:val="TableParagraph"/>
              <w:spacing w:line="276" w:lineRule="auto"/>
              <w:ind w:left="131" w:right="116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Volcano plot</w:t>
            </w:r>
          </w:p>
        </w:tc>
        <w:tc>
          <w:tcPr>
            <w:tcW w:w="1404" w:type="dxa"/>
            <w:shd w:val="clear" w:color="auto" w:fill="auto"/>
          </w:tcPr>
          <w:p w14:paraId="5FBDBD4B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0D13C2B6" w14:textId="77777777" w:rsidR="00F84C58" w:rsidRPr="0065496E" w:rsidRDefault="00F84C58" w:rsidP="00C416DF">
            <w:pPr>
              <w:pStyle w:val="TableParagraph"/>
              <w:spacing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4A217923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01311653" w14:textId="77777777" w:rsidR="00F84C58" w:rsidRPr="0065496E" w:rsidRDefault="00F84C58" w:rsidP="00C416DF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5F6FDB83" w14:textId="77777777" w:rsidTr="00C416DF">
        <w:trPr>
          <w:trHeight w:val="303"/>
        </w:trPr>
        <w:tc>
          <w:tcPr>
            <w:tcW w:w="2935" w:type="dxa"/>
          </w:tcPr>
          <w:p w14:paraId="457A6C93" w14:textId="77777777" w:rsidR="00F84C58" w:rsidRPr="0065496E" w:rsidRDefault="00F84C58" w:rsidP="00C416DF">
            <w:pPr>
              <w:pStyle w:val="TableParagraph"/>
              <w:spacing w:line="276" w:lineRule="auto"/>
              <w:ind w:left="139" w:right="11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All to all scatter plot</w:t>
            </w:r>
          </w:p>
        </w:tc>
        <w:tc>
          <w:tcPr>
            <w:tcW w:w="1404" w:type="dxa"/>
            <w:shd w:val="clear" w:color="auto" w:fill="auto"/>
          </w:tcPr>
          <w:p w14:paraId="04A42291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  <w:shd w:val="clear" w:color="auto" w:fill="auto"/>
          </w:tcPr>
          <w:p w14:paraId="27CEBC04" w14:textId="77777777" w:rsidR="00F84C58" w:rsidRPr="0065496E" w:rsidRDefault="00F84C58" w:rsidP="00C416DF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14:paraId="410FA6CA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107E7C36" w14:textId="77777777" w:rsidR="00F84C58" w:rsidRPr="0065496E" w:rsidRDefault="00F84C58" w:rsidP="00C416DF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19C2D2B4" w14:textId="77777777" w:rsidTr="00C416DF">
        <w:trPr>
          <w:trHeight w:val="298"/>
        </w:trPr>
        <w:tc>
          <w:tcPr>
            <w:tcW w:w="2935" w:type="dxa"/>
          </w:tcPr>
          <w:p w14:paraId="61451DC2" w14:textId="77777777" w:rsidR="00F84C58" w:rsidRPr="0065496E" w:rsidRDefault="00F84C58" w:rsidP="00C416DF">
            <w:pPr>
              <w:pStyle w:val="TableParagraph"/>
              <w:spacing w:line="276" w:lineRule="auto"/>
              <w:ind w:left="139" w:right="114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Heatmap</w:t>
            </w:r>
          </w:p>
        </w:tc>
        <w:tc>
          <w:tcPr>
            <w:tcW w:w="1404" w:type="dxa"/>
            <w:shd w:val="clear" w:color="auto" w:fill="auto"/>
          </w:tcPr>
          <w:p w14:paraId="33938E45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1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476" w:type="dxa"/>
            <w:shd w:val="clear" w:color="auto" w:fill="auto"/>
          </w:tcPr>
          <w:p w14:paraId="3EC5AB08" w14:textId="77777777" w:rsidR="00F84C58" w:rsidRPr="0065496E" w:rsidRDefault="00F84C58" w:rsidP="00C416DF">
            <w:pPr>
              <w:pStyle w:val="TableParagraph"/>
              <w:spacing w:line="276" w:lineRule="auto"/>
              <w:ind w:left="379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296" w:type="dxa"/>
            <w:shd w:val="clear" w:color="auto" w:fill="auto"/>
          </w:tcPr>
          <w:p w14:paraId="403F3410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53BD21B4" w14:textId="77777777" w:rsidR="00F84C58" w:rsidRPr="0065496E" w:rsidRDefault="00F84C58" w:rsidP="00C416DF">
            <w:pPr>
              <w:pStyle w:val="TableParagraph"/>
              <w:spacing w:line="276" w:lineRule="auto"/>
              <w:ind w:left="124" w:right="132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  <w:tr w:rsidR="00F84C58" w:rsidRPr="0065496E" w14:paraId="095D131C" w14:textId="77777777" w:rsidTr="00C416DF">
        <w:trPr>
          <w:trHeight w:val="303"/>
        </w:trPr>
        <w:tc>
          <w:tcPr>
            <w:tcW w:w="2935" w:type="dxa"/>
          </w:tcPr>
          <w:p w14:paraId="621A14D6" w14:textId="77777777" w:rsidR="00F84C58" w:rsidRPr="0065496E" w:rsidRDefault="00F84C58" w:rsidP="00C416DF">
            <w:pPr>
              <w:pStyle w:val="TableParagraph"/>
              <w:spacing w:line="276" w:lineRule="auto"/>
              <w:ind w:left="139" w:right="11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Fonts w:ascii="Times" w:hAnsi="Times" w:cstheme="minorHAnsi"/>
                <w:sz w:val="20"/>
                <w:szCs w:val="20"/>
                <w:lang w:val="en-GB"/>
              </w:rPr>
              <w:t>Interquartile Range plot</w:t>
            </w:r>
          </w:p>
        </w:tc>
        <w:tc>
          <w:tcPr>
            <w:tcW w:w="1404" w:type="dxa"/>
            <w:shd w:val="clear" w:color="auto" w:fill="auto"/>
          </w:tcPr>
          <w:p w14:paraId="1D9E4098" w14:textId="77777777" w:rsidR="00F84C58" w:rsidRPr="0065496E" w:rsidRDefault="00F84C58" w:rsidP="00C416DF">
            <w:pPr>
              <w:pStyle w:val="TableParagraph"/>
              <w:spacing w:line="276" w:lineRule="auto"/>
              <w:ind w:left="210" w:right="203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</w:p>
        </w:tc>
        <w:tc>
          <w:tcPr>
            <w:tcW w:w="1476" w:type="dxa"/>
            <w:shd w:val="clear" w:color="auto" w:fill="auto"/>
          </w:tcPr>
          <w:p w14:paraId="5B20BB71" w14:textId="77777777" w:rsidR="00F84C58" w:rsidRPr="0065496E" w:rsidRDefault="00F84C58" w:rsidP="00C416DF">
            <w:pPr>
              <w:pStyle w:val="TableParagraph"/>
              <w:spacing w:line="276" w:lineRule="auto"/>
              <w:ind w:left="371" w:right="368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296" w:type="dxa"/>
            <w:shd w:val="clear" w:color="auto" w:fill="auto"/>
          </w:tcPr>
          <w:p w14:paraId="11C3CF0C" w14:textId="77777777" w:rsidR="00F84C58" w:rsidRPr="0065496E" w:rsidRDefault="00F84C58" w:rsidP="00C416DF">
            <w:pPr>
              <w:pStyle w:val="TableParagraph"/>
              <w:spacing w:line="276" w:lineRule="auto"/>
              <w:ind w:left="96" w:right="95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653" w:type="dxa"/>
            <w:shd w:val="clear" w:color="auto" w:fill="auto"/>
          </w:tcPr>
          <w:p w14:paraId="1FEAAF8A" w14:textId="77777777" w:rsidR="00F84C58" w:rsidRPr="0065496E" w:rsidRDefault="00F84C58" w:rsidP="00C416DF">
            <w:pPr>
              <w:pStyle w:val="TableParagraph"/>
              <w:spacing w:line="276" w:lineRule="auto"/>
              <w:ind w:left="123" w:right="137"/>
              <w:jc w:val="left"/>
              <w:rPr>
                <w:rFonts w:ascii="Times" w:hAnsi="Times" w:cstheme="minorHAnsi"/>
                <w:sz w:val="20"/>
                <w:szCs w:val="20"/>
                <w:lang w:val="en-GB"/>
              </w:rPr>
            </w:pPr>
            <w:r w:rsidRPr="0065496E">
              <w:rPr>
                <w:rStyle w:val="st"/>
                <w:rFonts w:ascii="Segoe UI Symbol" w:hAnsi="Segoe UI Symbol" w:cs="Segoe UI Symbol"/>
                <w:b/>
                <w:bCs/>
                <w:sz w:val="20"/>
                <w:szCs w:val="20"/>
              </w:rPr>
              <w:t>✓</w:t>
            </w:r>
          </w:p>
        </w:tc>
      </w:tr>
    </w:tbl>
    <w:p w14:paraId="52B2C1B5" w14:textId="77777777" w:rsidR="00F84C58" w:rsidRPr="0065496E" w:rsidRDefault="00F84C58" w:rsidP="00F84C58">
      <w:pPr>
        <w:pStyle w:val="BodyText"/>
        <w:spacing w:before="5" w:line="276" w:lineRule="auto"/>
        <w:rPr>
          <w:rFonts w:ascii="Times" w:hAnsi="Times" w:cstheme="minorHAnsi"/>
          <w:sz w:val="20"/>
          <w:szCs w:val="20"/>
          <w:lang w:val="en-GB"/>
        </w:rPr>
      </w:pPr>
    </w:p>
    <w:p w14:paraId="2EBE20DC" w14:textId="77777777" w:rsidR="00F84C58" w:rsidRPr="0065496E" w:rsidRDefault="00F84C58" w:rsidP="00F84C58">
      <w:pPr>
        <w:pStyle w:val="BodyText"/>
        <w:spacing w:before="5" w:line="276" w:lineRule="auto"/>
        <w:rPr>
          <w:rFonts w:ascii="Times" w:hAnsi="Times" w:cstheme="minorHAnsi"/>
          <w:sz w:val="20"/>
          <w:szCs w:val="20"/>
          <w:lang w:val="en-GB"/>
        </w:rPr>
      </w:pPr>
    </w:p>
    <w:p w14:paraId="4EFF652C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36D92D3D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44A95859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2FAF2A58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6DF84DE7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69D1923F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27E47A7E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033BF411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2E0EDDCF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0B60196F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00BC6988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57292E58" w14:textId="77777777" w:rsidR="00F84C58" w:rsidRPr="0065496E" w:rsidRDefault="00F84C58" w:rsidP="00F84C58">
      <w:pPr>
        <w:pStyle w:val="BodyText"/>
        <w:spacing w:before="52" w:line="276" w:lineRule="auto"/>
        <w:rPr>
          <w:rFonts w:ascii="Times" w:hAnsi="Times" w:cstheme="minorHAnsi"/>
          <w:b/>
          <w:sz w:val="20"/>
          <w:szCs w:val="20"/>
          <w:lang w:val="en-GB"/>
        </w:rPr>
      </w:pPr>
    </w:p>
    <w:p w14:paraId="20312758" w14:textId="77777777" w:rsidR="00F40BF5" w:rsidRPr="0065496E" w:rsidRDefault="0065496E">
      <w:pPr>
        <w:rPr>
          <w:rFonts w:ascii="Times" w:hAnsi="Times"/>
          <w:sz w:val="20"/>
          <w:szCs w:val="20"/>
        </w:rPr>
      </w:pPr>
    </w:p>
    <w:sectPr w:rsidR="00F40BF5" w:rsidRPr="0065496E" w:rsidSect="00CC3F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20B0604020202020204"/>
    <w:charset w:val="00"/>
    <w:family w:val="swiss"/>
    <w:pitch w:val="variable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58"/>
    <w:rsid w:val="00001924"/>
    <w:rsid w:val="0011233F"/>
    <w:rsid w:val="0042594D"/>
    <w:rsid w:val="00430851"/>
    <w:rsid w:val="0065496E"/>
    <w:rsid w:val="00880D6C"/>
    <w:rsid w:val="009D3EE1"/>
    <w:rsid w:val="00A014EB"/>
    <w:rsid w:val="00CC3F8C"/>
    <w:rsid w:val="00F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E7D9A"/>
  <w14:defaultImageDpi w14:val="32767"/>
  <w15:chartTrackingRefBased/>
  <w15:docId w15:val="{9277E7B7-9D11-8E4C-AF43-9E7C4B16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C58"/>
    <w:pPr>
      <w:spacing w:after="160" w:line="259" w:lineRule="auto"/>
    </w:pPr>
    <w:rPr>
      <w:rFonts w:eastAsia="SimSu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4C5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C58"/>
    <w:rPr>
      <w:rFonts w:ascii="Carlito" w:eastAsia="Carlito" w:hAnsi="Carlito" w:cs="Carli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84C58"/>
    <w:pPr>
      <w:widowControl w:val="0"/>
      <w:autoSpaceDE w:val="0"/>
      <w:autoSpaceDN w:val="0"/>
      <w:spacing w:before="1" w:after="0" w:line="240" w:lineRule="auto"/>
      <w:ind w:left="183" w:right="184"/>
      <w:jc w:val="center"/>
    </w:pPr>
    <w:rPr>
      <w:rFonts w:ascii="Carlito" w:eastAsia="Carlito" w:hAnsi="Carlito" w:cs="Carlito"/>
    </w:rPr>
  </w:style>
  <w:style w:type="character" w:customStyle="1" w:styleId="st">
    <w:name w:val="st"/>
    <w:basedOn w:val="DefaultParagraphFont"/>
    <w:rsid w:val="00F8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Gu</dc:creator>
  <cp:keywords/>
  <dc:description/>
  <cp:lastModifiedBy>Quan Gu</cp:lastModifiedBy>
  <cp:revision>2</cp:revision>
  <dcterms:created xsi:type="dcterms:W3CDTF">2020-07-30T11:49:00Z</dcterms:created>
  <dcterms:modified xsi:type="dcterms:W3CDTF">2020-07-30T11:54:00Z</dcterms:modified>
</cp:coreProperties>
</file>