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/>
      </w:pPr>
      <w:bookmarkStart w:id="0" w:name="__DdeLink__18692_4159450953"/>
      <w:bookmarkStart w:id="1" w:name="_GoBack"/>
      <w:bookmarkEnd w:id="1"/>
      <w:r>
        <w:rPr>
          <w:rFonts w:eastAsia="Times New Roman" w:cs="Arial" w:ascii="Arial" w:hAnsi="Arial"/>
          <w:b/>
          <w:bCs/>
          <w:sz w:val="20"/>
          <w:szCs w:val="20"/>
        </w:rPr>
        <w:t xml:space="preserve">Supplementary Table S1. </w:t>
      </w:r>
      <w:r>
        <w:rPr>
          <w:rFonts w:eastAsia="Times New Roman" w:cs="Arial" w:ascii="Arial" w:hAnsi="Arial"/>
          <w:bCs/>
          <w:sz w:val="20"/>
          <w:szCs w:val="20"/>
        </w:rPr>
        <w:t>Features used in the MACREL classifiers.</w:t>
      </w:r>
    </w:p>
    <w:tbl>
      <w:tblPr>
        <w:tblW w:w="136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755"/>
        <w:gridCol w:w="7485"/>
        <w:gridCol w:w="2040"/>
        <w:gridCol w:w="1186"/>
        <w:gridCol w:w="1214"/>
      </w:tblGrid>
      <w:tr>
        <w:trPr>
          <w:trHeight w:val="259" w:hRule="atLeast"/>
        </w:trPr>
        <w:tc>
          <w:tcPr>
            <w:tcW w:w="17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/>
            </w:r>
          </w:p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74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/>
            </w:r>
          </w:p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Variable Importance to classification of</w:t>
            </w:r>
          </w:p>
        </w:tc>
      </w:tr>
      <w:tr>
        <w:trPr>
          <w:trHeight w:val="259" w:hRule="atLeast"/>
        </w:trPr>
        <w:tc>
          <w:tcPr>
            <w:tcW w:w="1755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7485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186" w:type="dxa"/>
            <w:tcBorders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AMPs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Hemolytic peptides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>
        <w:trPr>
          <w:trHeight w:val="259" w:hRule="atLeast"/>
        </w:trPr>
        <w:tc>
          <w:tcPr>
            <w:tcW w:w="1755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SA group 1</w:t>
            </w:r>
          </w:p>
        </w:tc>
        <w:tc>
          <w:tcPr>
            <w:tcW w:w="7485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Distribution parameter (CTDD) at first occurrence in the sequence using amino acids  group 1 (A,L,F,C,G,I,V,W) clustered by solvent accessibility </w:t>
            </w:r>
          </w:p>
        </w:tc>
        <w:tc>
          <w:tcPr>
            <w:tcW w:w="204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Bhadra et al. (2018)</w:t>
            </w:r>
          </w:p>
        </w:tc>
        <w:tc>
          <w:tcPr>
            <w:tcW w:w="118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26.2</w:t>
            </w:r>
          </w:p>
        </w:tc>
        <w:tc>
          <w:tcPr>
            <w:tcW w:w="121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12.0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SA group 2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Distribution parameter (CTDD) at first occurrence in the sequence using amino acids  group 2 (R,K,Q,E,D,N)  clustered by solvent accessibility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Bhadra et al. (2018)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27.2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6.9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SA group 3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Distribution parameter (CTDD) at first occurrence in the sequence using amino acids  group 3 (M,S,P,T,H,Y)  clustered by solvent accessibility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Bhadra et al. (2018)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100.0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8.4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FET group 1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Distribution parameter (CTDD) at first occurrence in the sequence using amino acids  group 1 (I,L,V,W,A,G,T,M)  clustered by the free energy to transfer from water to lipophilic phase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This study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64.2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6.1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FET group 2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Distribution parameter (CTDD) at first occurrence in the sequence using amino acids  group 2 (F,Y,S,Q,C,N) clustered by the free energy to transfer from water to lipophilic phase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This study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16.9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6.1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FET group 3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Distribution parameter (CTDD) at first occurrence in the sequence using amino acids  group 3 (P,H,K,E,D,R) clustered by the free energy to transfer from water to lipophilic phase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This study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23.3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7.5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Tiny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tiny amino acids (A + C + G + S + T)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20.6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10.6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Small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small amino acids</w:t>
            </w:r>
          </w:p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/>
              </w:rPr>
              <w:t>(A + B + C + D + G + N + P + S + T + V)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14.4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17.7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Aliphatic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aliphatic amino acids (A + I + L + V)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16.3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6.0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Aromatic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aromatic amino acids (F + H + W + Y)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13.1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7.6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Non-polar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non-polar amino acids</w:t>
            </w:r>
          </w:p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(A + C + F + G + I + L + M + P + V + W + Y)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13.8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18.6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Polar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polar amino acids (D + E + H + K + N + Q + R + S + T + Z)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13.9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16.2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Charged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charged amino acids (B + D + E + H + K + R + Z)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12.6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9.6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Basic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basic amino acids (H + K + R)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21.8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25.9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Acidic res. %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Percent of residues of acidic amino acids (B + D + E + Z);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Osorio et al. (2015)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31.9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79.0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Peptide charge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Peptide charge at pH 7.0 using "EMBOSS" pk-scale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EMBOSS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34.5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88.4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Isoelectric point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Peptide isoelectric point using "EMBOSS" pk-scale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>Bjellqvist et al. (1994)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29.9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42.8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Aliphatic index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Relative volume occupied by aliphatic side chains (A, V, I, and L) in the peptide chain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Ikai (1980)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17.5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7.9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Instability index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Stability of a protein based on its dipeptide composition, it is used to determine whether the peptide will be stable in a test tube.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Guruprasad et al. (1990)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20.8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10.3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Boman index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Sum of the solubility values for all residues in a sequence, it might give an overall estimate of the potential of a peptide to bind to membranes or other proteins as receptors, to normalize it is divided by the number of residues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Boman (2003)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18.4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21.0</w:t>
            </w:r>
          </w:p>
        </w:tc>
      </w:tr>
      <w:tr>
        <w:trPr>
          <w:trHeight w:val="259" w:hRule="atLeast"/>
        </w:trPr>
        <w:tc>
          <w:tcPr>
            <w:tcW w:w="175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Hydrophobicity</w:t>
            </w:r>
          </w:p>
        </w:tc>
        <w:tc>
          <w:tcPr>
            <w:tcW w:w="7485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Peptide's hydrophobicity using "KyteDoolittle" scale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Kyte and Doolitle (1982)</w:t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15.7</w:t>
            </w:r>
          </w:p>
        </w:tc>
        <w:tc>
          <w:tcPr>
            <w:tcW w:w="1214" w:type="dxa"/>
            <w:tcBorders/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11.0</w:t>
            </w:r>
          </w:p>
        </w:tc>
      </w:tr>
      <w:tr>
        <w:trPr>
          <w:trHeight w:val="259" w:hRule="atLeast"/>
        </w:trPr>
        <w:tc>
          <w:tcPr>
            <w:tcW w:w="17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H-moment</w:t>
            </w:r>
          </w:p>
        </w:tc>
        <w:tc>
          <w:tcPr>
            <w:tcW w:w="748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Quantitative measure of the amphiphilicity perpendicular to the axis of any periodic peptide structure, such as the alpha-helix or beta-sheet using angle of 100º and a window of 11 residues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Eisenberg et al. (1984)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24.0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36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21.8</w:t>
            </w:r>
          </w:p>
        </w:tc>
      </w:tr>
    </w:tbl>
    <w:p>
      <w:pPr>
        <w:pStyle w:val="Standard"/>
        <w:spacing w:lineRule="auto" w:line="360"/>
        <w:rPr/>
      </w:pPr>
      <w:r>
        <w:rPr>
          <w:rFonts w:eastAsia="Times New Roman" w:cs="Arial" w:ascii="Arial" w:hAnsi="Arial"/>
          <w:bCs/>
          <w:sz w:val="20"/>
          <w:szCs w:val="20"/>
          <w:vertAlign w:val="superscript"/>
        </w:rPr>
        <w:t>a</w:t>
      </w:r>
      <w:r>
        <w:rPr>
          <w:rFonts w:eastAsia="Times New Roman" w:cs="Arial" w:ascii="Arial" w:hAnsi="Arial"/>
          <w:bCs/>
          <w:sz w:val="20"/>
          <w:szCs w:val="20"/>
        </w:rPr>
        <w:t xml:space="preserve"> Variable importance is a measure that refers to the frequency a given variable is used by the trees in the random forest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REFERENCES:</w:t>
      </w:r>
    </w:p>
    <w:p>
      <w:pPr>
        <w:pStyle w:val="Standard"/>
        <w:spacing w:lineRule="auto" w:line="360"/>
        <w:rPr/>
      </w:pPr>
      <w:r>
        <w:rPr>
          <w:rFonts w:eastAsia="Times New Roman" w:cs="Arial" w:ascii="Arial" w:hAnsi="Arial"/>
          <w:bCs/>
          <w:sz w:val="20"/>
          <w:szCs w:val="20"/>
        </w:rPr>
        <w:t xml:space="preserve">Bhadra P., Yan J., Li J. </w:t>
      </w:r>
      <w:r>
        <w:rPr>
          <w:rFonts w:eastAsia="Times New Roman" w:cs="Arial" w:ascii="Arial" w:hAnsi="Arial"/>
          <w:bCs/>
          <w:i/>
          <w:sz w:val="20"/>
          <w:szCs w:val="20"/>
        </w:rPr>
        <w:t>et al.</w:t>
      </w:r>
      <w:r>
        <w:rPr>
          <w:rFonts w:eastAsia="Times New Roman" w:cs="Arial" w:ascii="Arial" w:hAnsi="Arial"/>
          <w:bCs/>
          <w:sz w:val="20"/>
          <w:szCs w:val="20"/>
        </w:rPr>
        <w:t xml:space="preserve"> AmPEP: Sequence-based prediction of antimicrobial peptides using distribution patterns of amino acid properties and random forest. </w:t>
      </w:r>
      <w:r>
        <w:rPr>
          <w:rFonts w:eastAsia="Times New Roman" w:cs="Arial" w:ascii="Arial" w:hAnsi="Arial"/>
          <w:bCs/>
          <w:i/>
          <w:sz w:val="20"/>
          <w:szCs w:val="20"/>
        </w:rPr>
        <w:t>Sci Rep</w:t>
      </w:r>
      <w:r>
        <w:rPr>
          <w:rFonts w:eastAsia="Times New Roman" w:cs="Arial" w:ascii="Arial" w:hAnsi="Arial"/>
          <w:bCs/>
          <w:sz w:val="20"/>
          <w:szCs w:val="20"/>
        </w:rPr>
        <w:t xml:space="preserve"> 2018, </w:t>
      </w:r>
      <w:r>
        <w:rPr>
          <w:rFonts w:eastAsia="Times New Roman" w:cs="Arial" w:ascii="Arial" w:hAnsi="Arial"/>
          <w:b w:val="false"/>
          <w:bCs w:val="false"/>
          <w:sz w:val="20"/>
          <w:szCs w:val="20"/>
        </w:rPr>
        <w:t>8:</w:t>
      </w:r>
      <w:r>
        <w:rPr>
          <w:rFonts w:eastAsia="Times New Roman" w:cs="Arial" w:ascii="Arial" w:hAnsi="Arial"/>
          <w:b/>
          <w:bCs/>
          <w:sz w:val="20"/>
          <w:szCs w:val="20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</w:rPr>
        <w:t>1697. https://doi.org/10.1038/s41598-018-19752-w</w:t>
      </w:r>
    </w:p>
    <w:p>
      <w:pPr>
        <w:pStyle w:val="Standard"/>
        <w:spacing w:lineRule="auto" w:line="360"/>
        <w:rPr/>
      </w:pPr>
      <w:r>
        <w:rPr>
          <w:rFonts w:eastAsia="Times New Roman" w:cs="Arial" w:ascii="Arial" w:hAnsi="Arial"/>
          <w:bCs/>
          <w:sz w:val="20"/>
          <w:szCs w:val="20"/>
        </w:rPr>
        <w:t xml:space="preserve">Bjellqvist B., Basse B., Olsen E. and Celis J.E. </w:t>
      </w:r>
      <w:r>
        <w:rPr>
          <w:rStyle w:val="Emphasis"/>
          <w:rFonts w:eastAsia="Times New Roman" w:cs="Arial" w:ascii="Arial" w:hAnsi="Arial"/>
          <w:bCs/>
          <w:i w:val="false"/>
          <w:iCs w:val="false"/>
          <w:sz w:val="20"/>
          <w:szCs w:val="20"/>
        </w:rPr>
        <w:t>Reference points for comparisons of two-dimensional maps of proteins from different human cell types defined in a pH scale where isoelectric points correlate with polypeptide compositions.</w:t>
      </w:r>
      <w:r>
        <w:rPr>
          <w:rFonts w:eastAsia="Times New Roman" w:cs="Arial" w:ascii="Arial" w:hAnsi="Arial"/>
          <w:bCs/>
          <w:sz w:val="20"/>
          <w:szCs w:val="20"/>
        </w:rPr>
        <w:t xml:space="preserve"> Electrophoresis 1994, 15: 529-539.</w:t>
      </w:r>
    </w:p>
    <w:p>
      <w:pPr>
        <w:pStyle w:val="Standard"/>
        <w:spacing w:lineRule="auto" w:line="360"/>
        <w:rPr/>
      </w:pPr>
      <w:r>
        <w:rPr>
          <w:rFonts w:eastAsia="Times New Roman" w:cs="Arial" w:ascii="Arial" w:hAnsi="Arial"/>
          <w:bCs/>
          <w:sz w:val="20"/>
          <w:szCs w:val="20"/>
        </w:rPr>
        <w:t>Boman H.G. Antibacterial peptides: basic facts and emerging concepts. Journal of Internal Medicine 2003, 254(3): 197-215.</w:t>
      </w:r>
    </w:p>
    <w:p>
      <w:pPr>
        <w:pStyle w:val="Standard"/>
        <w:spacing w:lineRule="auto" w:line="360"/>
        <w:rPr/>
      </w:pPr>
      <w:r>
        <w:rPr>
          <w:rFonts w:eastAsia="Times New Roman" w:cs="Arial" w:ascii="Arial" w:hAnsi="Arial"/>
          <w:bCs/>
          <w:sz w:val="20"/>
          <w:szCs w:val="20"/>
        </w:rPr>
        <w:t>Eisenberg D., Weiss R.M., Terwilliger T.C. The hydrophobic moment detects periodicity in protein hydrophobicity. Proceedings of the National Academy of Sciences 1984, 81(1): 140-144.</w:t>
      </w:r>
    </w:p>
    <w:p>
      <w:pPr>
        <w:pStyle w:val="Standard"/>
        <w:spacing w:lineRule="auto" w:line="360"/>
        <w:rPr>
          <w:rFonts w:ascii="sans-serif" w:hAnsi="sans-serif"/>
          <w:sz w:val="24"/>
          <w:szCs w:val="20"/>
        </w:rPr>
      </w:pPr>
      <w:r>
        <w:rPr>
          <w:rFonts w:eastAsia="Times New Roman" w:cs="Arial" w:ascii="Arial" w:hAnsi="Arial"/>
          <w:bCs/>
          <w:sz w:val="20"/>
          <w:szCs w:val="20"/>
        </w:rPr>
        <w:t>EMBOSS data are from http://emboss.sourceforge.net/apps/release/5.0/emboss/apps/iep.html.</w:t>
      </w:r>
    </w:p>
    <w:p>
      <w:pPr>
        <w:pStyle w:val="Standard"/>
        <w:spacing w:lineRule="auto" w:line="360"/>
        <w:rPr/>
      </w:pPr>
      <w:r>
        <w:rPr>
          <w:rFonts w:eastAsia="Times New Roman" w:cs="Arial" w:ascii="Arial" w:hAnsi="Arial"/>
          <w:bCs/>
          <w:sz w:val="20"/>
          <w:szCs w:val="20"/>
        </w:rPr>
        <w:t>Guruprasad K., Reddy B.V., Pandit M.W. Correlation between stability of a protein and its dipeptide composition: a novel approach for predicting in vivo stability of a protein from its primary sequence. Protein Engineering 1990, 4 (2): 155–61.</w:t>
      </w:r>
    </w:p>
    <w:p>
      <w:pPr>
        <w:pStyle w:val="Standard"/>
        <w:spacing w:lineRule="auto" w:line="360"/>
        <w:rPr/>
      </w:pPr>
      <w:r>
        <w:rPr>
          <w:rFonts w:eastAsia="Times New Roman" w:cs="Arial" w:ascii="Arial" w:hAnsi="Arial"/>
          <w:bCs/>
          <w:sz w:val="20"/>
          <w:szCs w:val="20"/>
        </w:rPr>
        <w:t xml:space="preserve">Ikai A.J.  Thermostability and aliphatic index of globular proteins. Journal of Biochemistry 1980, 88: 1895-1898. </w:t>
      </w:r>
    </w:p>
    <w:p>
      <w:pPr>
        <w:pStyle w:val="Standard"/>
        <w:spacing w:lineRule="auto" w:line="360"/>
        <w:rPr/>
      </w:pPr>
      <w:r>
        <w:rPr>
          <w:rFonts w:eastAsia="Times New Roman" w:cs="Arial" w:ascii="Arial" w:hAnsi="Arial"/>
          <w:bCs/>
          <w:sz w:val="20"/>
          <w:szCs w:val="20"/>
        </w:rPr>
        <w:t>Kyte J., Doolittle R.F. Hydropathicity. J. Mol. Biol. 157:105-132(1982).</w:t>
      </w:r>
    </w:p>
    <w:p>
      <w:pPr>
        <w:pStyle w:val="Standard"/>
        <w:spacing w:lineRule="auto" w:line="360" w:before="0" w:after="1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Osorio D., Rondon-Villarreal P., Torres R. Peptides: A Package for Data Mining of Antimicrobial Peptides. </w:t>
      </w:r>
      <w:r>
        <w:rPr>
          <w:rStyle w:val="Emphasis"/>
          <w:rFonts w:ascii="Arial" w:hAnsi="Arial"/>
          <w:i w:val="false"/>
          <w:iCs w:val="false"/>
          <w:sz w:val="20"/>
          <w:szCs w:val="20"/>
        </w:rPr>
        <w:t>The R Journal</w:t>
      </w:r>
      <w:r>
        <w:rPr>
          <w:rFonts w:ascii="Arial" w:hAnsi="Arial"/>
          <w:i w:val="false"/>
          <w:iCs w:val="fals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2015, </w:t>
      </w:r>
      <w:r>
        <w:rPr>
          <w:rFonts w:ascii="Arial" w:hAnsi="Arial"/>
          <w:b w:val="false"/>
          <w:bCs w:val="false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(1): 4-14.</w:t>
      </w:r>
      <w:bookmarkEnd w:id="0"/>
    </w:p>
    <w:sectPr>
      <w:type w:val="nextPage"/>
      <w:pgSz w:orient="landscape" w:w="15840" w:h="12240"/>
      <w:pgMar w:left="1440" w:right="1440" w:header="0" w:top="1800" w:footer="0" w:bottom="18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563C1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1">
    <w:name w:val="Internet Link"/>
    <w:basedOn w:val="DefaultParagraphFont"/>
    <w:rPr>
      <w:color w:val="0563C1"/>
      <w:u w:val="single"/>
    </w:rPr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ohit Devanagari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Msonormal" w:customStyle="1">
    <w:name w:val="msonormal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3" w:customStyle="1">
    <w:name w:val="xl63"/>
    <w:basedOn w:val="Standard"/>
    <w:qFormat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64" w:customStyle="1">
    <w:name w:val="xl64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5" w:customStyle="1">
    <w:name w:val="xl65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Xl66" w:customStyle="1">
    <w:name w:val="xl66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Xl67" w:customStyle="1">
    <w:name w:val="xl67"/>
    <w:basedOn w:val="Normal"/>
    <w:qFormat/>
    <w:pPr>
      <w:widowControl/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pt-BR" w:eastAsia="pt-BR"/>
    </w:rPr>
  </w:style>
  <w:style w:type="paragraph" w:styleId="Xl68" w:customStyle="1">
    <w:name w:val="xl68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val="pt-BR" w:eastAsia="pt-BR"/>
    </w:rPr>
  </w:style>
  <w:style w:type="paragraph" w:styleId="Xl69" w:customStyle="1">
    <w:name w:val="xl69"/>
    <w:basedOn w:val="Normal"/>
    <w:qFormat/>
    <w:pPr>
      <w:widowControl/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val="pt-BR" w:eastAsia="pt-BR"/>
    </w:rPr>
  </w:style>
  <w:style w:type="paragraph" w:styleId="Xl70" w:customStyle="1">
    <w:name w:val="xl70"/>
    <w:basedOn w:val="Normal"/>
    <w:qFormat/>
    <w:pPr>
      <w:widowControl/>
      <w:suppressAutoHyphens w:val="false"/>
      <w:spacing w:before="100" w:after="100"/>
      <w:jc w:val="center"/>
      <w:textAlignment w:val="auto"/>
    </w:pPr>
    <w:rPr>
      <w:rFonts w:ascii="Arial" w:hAnsi="Arial" w:eastAsia="Times New Roman" w:cs="Arial"/>
      <w:sz w:val="20"/>
      <w:szCs w:val="20"/>
      <w:lang w:val="pt-BR" w:eastAsia="pt-BR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LibreOffice/6.3.5.2$Linux_X86_64 LibreOffice_project/30$Build-2</Application>
  <Pages>3</Pages>
  <Words>856</Words>
  <Characters>4215</Characters>
  <CharactersWithSpaces>4953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2020-04-13T16:06:00Z</dcterms:created>
  <dc:creator>admin</dc:creator>
  <dc:description/>
  <dc:language>pt-BR</dc:language>
  <cp:lastModifiedBy/>
  <dcterms:modified xsi:type="dcterms:W3CDTF">2020-10-26T20:25:46Z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