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1C" w:rsidRPr="00E82D85" w:rsidRDefault="0079501C" w:rsidP="0079501C">
      <w:pPr>
        <w:pStyle w:val="Default"/>
        <w:rPr>
          <w:b/>
        </w:rPr>
      </w:pPr>
      <w:r w:rsidRPr="00E82D85">
        <w:rPr>
          <w:b/>
        </w:rPr>
        <w:t>Ap</w:t>
      </w:r>
      <w:r w:rsidR="00A8480E">
        <w:rPr>
          <w:b/>
        </w:rPr>
        <w:t>pendix S2</w:t>
      </w:r>
      <w:r w:rsidR="00E82D85" w:rsidRPr="00E82D85">
        <w:rPr>
          <w:b/>
        </w:rPr>
        <w:t>:</w:t>
      </w:r>
      <w:r w:rsidR="00BC2228" w:rsidRPr="00E82D85">
        <w:rPr>
          <w:b/>
        </w:rPr>
        <w:t xml:space="preserve"> Summary of </w:t>
      </w:r>
      <w:r w:rsidR="00E82D85">
        <w:rPr>
          <w:b/>
        </w:rPr>
        <w:t>E</w:t>
      </w:r>
      <w:r w:rsidR="00BC2228" w:rsidRPr="00E82D85">
        <w:rPr>
          <w:b/>
        </w:rPr>
        <w:t xml:space="preserve">stimates </w:t>
      </w:r>
      <w:r w:rsidRPr="00E82D85">
        <w:rPr>
          <w:b/>
        </w:rPr>
        <w:t xml:space="preserve">of </w:t>
      </w:r>
      <w:proofErr w:type="gramStart"/>
      <w:r w:rsidRPr="00E82D85">
        <w:rPr>
          <w:b/>
          <w:i/>
        </w:rPr>
        <w:t>g(</w:t>
      </w:r>
      <w:proofErr w:type="gramEnd"/>
      <w:r w:rsidRPr="00E82D85">
        <w:rPr>
          <w:b/>
          <w:i/>
        </w:rPr>
        <w:t>0)</w:t>
      </w:r>
      <w:r w:rsidRPr="00E82D85">
        <w:rPr>
          <w:b/>
        </w:rPr>
        <w:t xml:space="preserve"> and </w:t>
      </w:r>
      <w:r w:rsidR="00E82D85">
        <w:rPr>
          <w:b/>
        </w:rPr>
        <w:t>S</w:t>
      </w:r>
      <w:r w:rsidRPr="00E82D85">
        <w:rPr>
          <w:b/>
        </w:rPr>
        <w:t xml:space="preserve">urface </w:t>
      </w:r>
      <w:r w:rsidR="00E82D85">
        <w:rPr>
          <w:b/>
        </w:rPr>
        <w:t>A</w:t>
      </w:r>
      <w:r w:rsidRPr="00E82D85">
        <w:rPr>
          <w:b/>
        </w:rPr>
        <w:t>va</w:t>
      </w:r>
      <w:r w:rsidR="0050046D">
        <w:rPr>
          <w:b/>
        </w:rPr>
        <w:t xml:space="preserve">ilability from </w:t>
      </w:r>
      <w:proofErr w:type="spellStart"/>
      <w:r w:rsidR="0050046D">
        <w:rPr>
          <w:b/>
        </w:rPr>
        <w:t>Palka</w:t>
      </w:r>
      <w:proofErr w:type="spellEnd"/>
      <w:r w:rsidR="0050046D">
        <w:rPr>
          <w:b/>
        </w:rPr>
        <w:t xml:space="preserve"> et al. 2017</w:t>
      </w:r>
    </w:p>
    <w:p w:rsidR="0079501C" w:rsidRPr="00E078FC" w:rsidRDefault="0079501C" w:rsidP="0079501C">
      <w:pPr>
        <w:pStyle w:val="Default"/>
      </w:pPr>
    </w:p>
    <w:p w:rsidR="00E82D85" w:rsidRDefault="00E82D85" w:rsidP="0079501C">
      <w:pPr>
        <w:pStyle w:val="Default"/>
        <w:rPr>
          <w:b/>
        </w:rPr>
      </w:pPr>
    </w:p>
    <w:p w:rsidR="00E72624" w:rsidRDefault="00E72624" w:rsidP="0079501C">
      <w:pPr>
        <w:pStyle w:val="Default"/>
        <w:rPr>
          <w:b/>
        </w:rPr>
      </w:pPr>
    </w:p>
    <w:p w:rsidR="0079501C" w:rsidRPr="00E72624" w:rsidRDefault="0079501C" w:rsidP="00212A45">
      <w:pPr>
        <w:pStyle w:val="Default"/>
        <w:spacing w:line="480" w:lineRule="auto"/>
        <w:rPr>
          <w:b/>
        </w:rPr>
      </w:pPr>
      <w:r w:rsidRPr="00E078FC">
        <w:rPr>
          <w:b/>
        </w:rPr>
        <w:t xml:space="preserve">Summary </w:t>
      </w:r>
    </w:p>
    <w:p w:rsidR="0079501C" w:rsidRPr="00E078FC" w:rsidRDefault="0079501C" w:rsidP="00212A45">
      <w:pPr>
        <w:pStyle w:val="Default"/>
        <w:spacing w:line="480" w:lineRule="auto"/>
      </w:pPr>
      <w:r w:rsidRPr="00E078FC">
        <w:t xml:space="preserve"> </w:t>
      </w:r>
      <w:r w:rsidR="00E72624">
        <w:tab/>
      </w:r>
      <w:r w:rsidRPr="00E078FC">
        <w:t xml:space="preserve">To implement the Bayesian Method described in the manuscript we used a number of estimates derived in </w:t>
      </w:r>
      <w:proofErr w:type="spellStart"/>
      <w:r w:rsidRPr="00E078FC">
        <w:t>Palka</w:t>
      </w:r>
      <w:proofErr w:type="spellEnd"/>
      <w:r w:rsidRPr="00E078FC">
        <w:t xml:space="preserve"> et al.</w:t>
      </w:r>
      <w:r w:rsidR="00E078FC" w:rsidRPr="00E078FC">
        <w:t xml:space="preserve"> </w:t>
      </w:r>
      <w:r w:rsidR="007D2246">
        <w:t>(</w:t>
      </w:r>
      <w:r w:rsidR="00E078FC" w:rsidRPr="00E078FC">
        <w:t>2017</w:t>
      </w:r>
      <w:r w:rsidR="007D2246">
        <w:t>)</w:t>
      </w:r>
      <w:r w:rsidRPr="00E078FC">
        <w:t xml:space="preserve"> to develop informed priors.  The</w:t>
      </w:r>
      <w:r w:rsidR="00FD659D">
        <w:t xml:space="preserve">se estimates include </w:t>
      </w:r>
      <w:r w:rsidR="00632E19">
        <w:t>detection</w:t>
      </w:r>
      <w:r w:rsidR="00E078FC">
        <w:t xml:space="preserve"> probability on the </w:t>
      </w:r>
      <w:proofErr w:type="spellStart"/>
      <w:r w:rsidR="00E078FC">
        <w:t>trackline</w:t>
      </w:r>
      <w:proofErr w:type="spellEnd"/>
      <w:r w:rsidR="00E078FC">
        <w:t xml:space="preserve"> (</w:t>
      </w:r>
      <w:r w:rsidR="007D2246">
        <w:t xml:space="preserve">i.e., </w:t>
      </w:r>
      <w:proofErr w:type="gramStart"/>
      <w:r w:rsidR="00E078FC" w:rsidRPr="00AF0373">
        <w:rPr>
          <w:i/>
        </w:rPr>
        <w:t>g(</w:t>
      </w:r>
      <w:proofErr w:type="gramEnd"/>
      <w:r w:rsidR="00E078FC" w:rsidRPr="00AF0373">
        <w:rPr>
          <w:i/>
        </w:rPr>
        <w:t>0)</w:t>
      </w:r>
      <w:r w:rsidR="00E078FC">
        <w:t>) for the aerial surveys and an estimate of surface availability for fin whales</w:t>
      </w:r>
      <w:r w:rsidR="00FD659D">
        <w:t xml:space="preserve"> </w:t>
      </w:r>
      <w:r w:rsidR="00FD659D" w:rsidRPr="00D67388">
        <w:t>(</w:t>
      </w:r>
      <w:proofErr w:type="spellStart"/>
      <w:r w:rsidR="00FD659D" w:rsidRPr="00D67388">
        <w:rPr>
          <w:i/>
        </w:rPr>
        <w:t>Balaenoptera</w:t>
      </w:r>
      <w:proofErr w:type="spellEnd"/>
      <w:r w:rsidR="00FD659D" w:rsidRPr="00D67388">
        <w:rPr>
          <w:i/>
        </w:rPr>
        <w:t xml:space="preserve"> </w:t>
      </w:r>
      <w:proofErr w:type="spellStart"/>
      <w:r w:rsidR="00FD659D" w:rsidRPr="00D67388">
        <w:rPr>
          <w:i/>
        </w:rPr>
        <w:t>physalus</w:t>
      </w:r>
      <w:proofErr w:type="spellEnd"/>
      <w:r w:rsidR="00FD659D" w:rsidRPr="00D67388">
        <w:t>)</w:t>
      </w:r>
      <w:r w:rsidR="00551230">
        <w:t xml:space="preserve">.  Below we summarize the methods of </w:t>
      </w:r>
      <w:proofErr w:type="spellStart"/>
      <w:r w:rsidR="00551230">
        <w:t>Palka</w:t>
      </w:r>
      <w:proofErr w:type="spellEnd"/>
      <w:r w:rsidR="00551230">
        <w:t xml:space="preserve"> et al. </w:t>
      </w:r>
      <w:r w:rsidR="007D2246">
        <w:t xml:space="preserve">(2017) </w:t>
      </w:r>
      <w:r w:rsidR="00551230">
        <w:t>and how informed priors were constructed.</w:t>
      </w:r>
    </w:p>
    <w:p w:rsidR="0079501C" w:rsidRPr="00E078FC" w:rsidRDefault="0079501C" w:rsidP="00212A45">
      <w:pPr>
        <w:pStyle w:val="Default"/>
        <w:spacing w:line="480" w:lineRule="auto"/>
      </w:pPr>
    </w:p>
    <w:p w:rsidR="0067069E" w:rsidRDefault="0079501C" w:rsidP="00212A45">
      <w:pPr>
        <w:pStyle w:val="Default"/>
        <w:spacing w:line="480" w:lineRule="auto"/>
      </w:pPr>
      <w:r w:rsidRPr="00E078FC">
        <w:rPr>
          <w:b/>
        </w:rPr>
        <w:t xml:space="preserve">Estimating </w:t>
      </w:r>
      <w:proofErr w:type="gramStart"/>
      <w:r w:rsidRPr="00AF0373">
        <w:rPr>
          <w:b/>
          <w:i/>
        </w:rPr>
        <w:t>g(</w:t>
      </w:r>
      <w:proofErr w:type="gramEnd"/>
      <w:r w:rsidRPr="00AF0373">
        <w:rPr>
          <w:b/>
          <w:i/>
        </w:rPr>
        <w:t>0)</w:t>
      </w:r>
      <w:r w:rsidRPr="00E078FC">
        <w:rPr>
          <w:b/>
        </w:rPr>
        <w:t xml:space="preserve"> for aerial surveys</w:t>
      </w:r>
      <w:r w:rsidR="00E078FC" w:rsidRPr="00E078FC">
        <w:t xml:space="preserve">. </w:t>
      </w:r>
      <w:r w:rsidR="00551230">
        <w:t>D</w:t>
      </w:r>
      <w:r w:rsidRPr="00E078FC">
        <w:t>ue to the physical limitations within the plane, the front and back teams were not able to search</w:t>
      </w:r>
      <w:r w:rsidR="00551230">
        <w:t xml:space="preserve"> the exact same patch of water precluding the use of double observer </w:t>
      </w:r>
      <w:r w:rsidR="007D2246">
        <w:t>mark-recapture distance sample (</w:t>
      </w:r>
      <w:r w:rsidR="00942B3B">
        <w:t>MRDS</w:t>
      </w:r>
      <w:r w:rsidR="007D2246">
        <w:t xml:space="preserve">) </w:t>
      </w:r>
      <w:r w:rsidR="00551230">
        <w:t>methods that assume all animals are available to both teams</w:t>
      </w:r>
      <w:r w:rsidRPr="00E078FC">
        <w:t xml:space="preserve">. </w:t>
      </w:r>
      <w:r w:rsidR="00551230">
        <w:t>The front team had full coverage where</w:t>
      </w:r>
      <w:r w:rsidRPr="00E078FC">
        <w:t xml:space="preserve"> observers </w:t>
      </w:r>
      <w:r w:rsidR="00551230">
        <w:t>were able to search</w:t>
      </w:r>
      <w:r w:rsidRPr="00E078FC">
        <w:t xml:space="preserve"> waters from the horizon on the right side of the plane (90°) down to directly under the plane (on the track line; 0°) then over to the horizon on the left side of the plane (90°). The back team had</w:t>
      </w:r>
      <w:r w:rsidR="00551230">
        <w:t xml:space="preserve"> an obstructed view that</w:t>
      </w:r>
      <w:r w:rsidRPr="00E078FC">
        <w:t xml:space="preserve"> limited coverage. That is, the back observers searched waters from the horizon on the right side of the plane down under the plane through the track line then over to </w:t>
      </w:r>
      <w:r w:rsidR="007D2246">
        <w:t>approximately</w:t>
      </w:r>
      <w:r w:rsidRPr="00E078FC">
        <w:t xml:space="preserve"> 30 – 35° from the track line on the left side of the plane. In other words, the back team could not search waters on the left side of the plane from the horizon down to 65 – 70° below the horizon. Since most sightings were detected within 50 – 60° of the track line on either side, the patches of water searched by the front and back teams were only slightly asymmetric. However, to explicitly account for this asymmetry, the perception bias-corrected density for the aerial data was estimated in two steps. </w:t>
      </w:r>
      <w:r w:rsidR="007D2246">
        <w:t xml:space="preserve"> </w:t>
      </w:r>
      <w:r w:rsidRPr="00E078FC">
        <w:t xml:space="preserve">The first step was to estimate </w:t>
      </w:r>
      <w:proofErr w:type="gramStart"/>
      <w:r w:rsidR="005D0701" w:rsidRPr="00FD659D">
        <w:rPr>
          <w:i/>
        </w:rPr>
        <w:t>g(</w:t>
      </w:r>
      <w:proofErr w:type="gramEnd"/>
      <w:r w:rsidR="005D0701" w:rsidRPr="00FD659D">
        <w:rPr>
          <w:i/>
        </w:rPr>
        <w:t>0)</w:t>
      </w:r>
      <w:r w:rsidRPr="00E078FC">
        <w:t xml:space="preserve"> </w:t>
      </w:r>
      <w:r w:rsidR="007D2246">
        <w:t xml:space="preserve">for </w:t>
      </w:r>
      <w:r w:rsidRPr="00E078FC">
        <w:t xml:space="preserve">the </w:t>
      </w:r>
      <w:r w:rsidR="005D0701">
        <w:t>front</w:t>
      </w:r>
      <w:r w:rsidRPr="00E078FC">
        <w:t xml:space="preserve"> team </w:t>
      </w:r>
      <w:r w:rsidRPr="00E078FC">
        <w:lastRenderedPageBreak/>
        <w:t xml:space="preserve">using only the data from both teams that were in the area of overlap in a </w:t>
      </w:r>
      <w:r w:rsidR="0067069E">
        <w:t>double observer</w:t>
      </w:r>
      <w:r w:rsidRPr="00E078FC">
        <w:t xml:space="preserve"> </w:t>
      </w:r>
      <w:r w:rsidR="00A4325E">
        <w:t xml:space="preserve">MRDS </w:t>
      </w:r>
      <w:r w:rsidRPr="00E078FC">
        <w:t>analysis. The second step was to apply th</w:t>
      </w:r>
      <w:r w:rsidR="007D2246">
        <w:t>is</w:t>
      </w:r>
      <w:r w:rsidRPr="00E078FC">
        <w:t xml:space="preserve"> estimate of </w:t>
      </w:r>
      <w:r w:rsidR="0067069E">
        <w:rPr>
          <w:i/>
          <w:iCs/>
        </w:rPr>
        <w:t>g</w:t>
      </w:r>
      <w:r w:rsidRPr="00E078FC">
        <w:rPr>
          <w:i/>
          <w:iCs/>
        </w:rPr>
        <w:t xml:space="preserve">(0) </w:t>
      </w:r>
      <w:r w:rsidRPr="00E078FC">
        <w:t>for the primary team to the density estimate</w:t>
      </w:r>
      <w:r w:rsidR="007D2246">
        <w:t>s</w:t>
      </w:r>
      <w:r w:rsidRPr="00E078FC">
        <w:t xml:space="preserve"> calculated using only the primary team’s data in a standard single team covariate distance sampling analysis. </w:t>
      </w:r>
      <w:r w:rsidR="007D2246">
        <w:t xml:space="preserve"> </w:t>
      </w:r>
    </w:p>
    <w:p w:rsidR="00E82D85" w:rsidRDefault="00E82D85" w:rsidP="00212A45">
      <w:pPr>
        <w:autoSpaceDE w:val="0"/>
        <w:autoSpaceDN w:val="0"/>
        <w:adjustRightInd w:val="0"/>
        <w:spacing w:after="0" w:line="480" w:lineRule="auto"/>
        <w:rPr>
          <w:rFonts w:ascii="Times New Roman" w:hAnsi="Times New Roman" w:cs="Times New Roman"/>
          <w:sz w:val="24"/>
          <w:szCs w:val="24"/>
        </w:rPr>
      </w:pPr>
    </w:p>
    <w:p w:rsidR="00F52268" w:rsidRDefault="00E078FC" w:rsidP="00212A4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iCs/>
          <w:color w:val="000000"/>
          <w:sz w:val="24"/>
          <w:szCs w:val="24"/>
        </w:rPr>
        <w:t xml:space="preserve">Surface </w:t>
      </w:r>
      <w:r w:rsidR="00F52268" w:rsidRPr="00E078FC">
        <w:rPr>
          <w:rFonts w:ascii="Times New Roman" w:hAnsi="Times New Roman" w:cs="Times New Roman"/>
          <w:b/>
          <w:iCs/>
          <w:color w:val="000000"/>
          <w:sz w:val="24"/>
          <w:szCs w:val="24"/>
        </w:rPr>
        <w:t>Availability</w:t>
      </w:r>
      <w:r>
        <w:rPr>
          <w:rFonts w:ascii="Times New Roman" w:hAnsi="Times New Roman" w:cs="Times New Roman"/>
          <w:b/>
          <w:iCs/>
          <w:color w:val="000000"/>
          <w:sz w:val="24"/>
          <w:szCs w:val="24"/>
        </w:rPr>
        <w:t xml:space="preserve">. </w:t>
      </w:r>
      <w:r w:rsidR="00F52268" w:rsidRPr="00E078FC">
        <w:rPr>
          <w:rFonts w:ascii="Times New Roman" w:hAnsi="Times New Roman" w:cs="Times New Roman"/>
          <w:color w:val="000000"/>
          <w:sz w:val="24"/>
          <w:szCs w:val="24"/>
        </w:rPr>
        <w:t xml:space="preserve">Availability bias was accounted for in the density estimate by incorporating an availability correction factor as defined by </w:t>
      </w:r>
      <w:proofErr w:type="spellStart"/>
      <w:r w:rsidR="00F52268" w:rsidRPr="00E078FC">
        <w:rPr>
          <w:rFonts w:ascii="Times New Roman" w:hAnsi="Times New Roman" w:cs="Times New Roman"/>
          <w:color w:val="000000"/>
          <w:sz w:val="24"/>
          <w:szCs w:val="24"/>
        </w:rPr>
        <w:t>Laake</w:t>
      </w:r>
      <w:proofErr w:type="spellEnd"/>
      <w:r w:rsidR="00F52268" w:rsidRPr="00E078FC">
        <w:rPr>
          <w:rFonts w:ascii="Times New Roman" w:hAnsi="Times New Roman" w:cs="Times New Roman"/>
          <w:color w:val="000000"/>
          <w:sz w:val="24"/>
          <w:szCs w:val="24"/>
        </w:rPr>
        <w:t xml:space="preserve"> et al. (1997). The needed species-specific data </w:t>
      </w:r>
      <w:r w:rsidR="00EA028A">
        <w:rPr>
          <w:rFonts w:ascii="Times New Roman" w:hAnsi="Times New Roman" w:cs="Times New Roman"/>
          <w:color w:val="000000"/>
          <w:sz w:val="24"/>
          <w:szCs w:val="24"/>
        </w:rPr>
        <w:t xml:space="preserve"> </w:t>
      </w:r>
      <w:r w:rsidR="00F52268" w:rsidRPr="00E078FC">
        <w:rPr>
          <w:rFonts w:ascii="Times New Roman" w:hAnsi="Times New Roman" w:cs="Times New Roman"/>
          <w:color w:val="000000"/>
          <w:sz w:val="24"/>
          <w:szCs w:val="24"/>
        </w:rPr>
        <w:t xml:space="preserve">included: (1) average time at the surface and thus available to be detected; (2) average time below the surface and thus unavailable; and (3) amount of time an animal group remained in view of the observers, which depended on the speed of the observation vessel and the group size of the species of interest. Average surface and dive times for </w:t>
      </w:r>
      <w:r w:rsidR="00EA028A">
        <w:rPr>
          <w:rFonts w:ascii="Times New Roman" w:hAnsi="Times New Roman" w:cs="Times New Roman"/>
          <w:color w:val="000000"/>
          <w:sz w:val="24"/>
          <w:szCs w:val="24"/>
        </w:rPr>
        <w:t>fin whales</w:t>
      </w:r>
      <w:r w:rsidR="00F52268" w:rsidRPr="00E078FC">
        <w:rPr>
          <w:rFonts w:ascii="Times New Roman" w:hAnsi="Times New Roman" w:cs="Times New Roman"/>
          <w:color w:val="000000"/>
          <w:sz w:val="24"/>
          <w:szCs w:val="24"/>
        </w:rPr>
        <w:t xml:space="preserve"> were estimated using time-at depth data collected from suction cup tags attached to indiv</w:t>
      </w:r>
      <w:r w:rsidR="00EA028A">
        <w:rPr>
          <w:rFonts w:ascii="Times New Roman" w:hAnsi="Times New Roman" w:cs="Times New Roman"/>
          <w:color w:val="000000"/>
          <w:sz w:val="24"/>
          <w:szCs w:val="24"/>
        </w:rPr>
        <w:t>iduals by various investigators</w:t>
      </w:r>
      <w:r w:rsidR="00763C91">
        <w:rPr>
          <w:rFonts w:ascii="Times New Roman" w:hAnsi="Times New Roman" w:cs="Times New Roman"/>
          <w:color w:val="000000"/>
          <w:sz w:val="24"/>
          <w:szCs w:val="24"/>
        </w:rPr>
        <w:t xml:space="preserve"> (</w:t>
      </w:r>
      <w:proofErr w:type="spellStart"/>
      <w:r w:rsidR="00763C91">
        <w:rPr>
          <w:rFonts w:ascii="Times New Roman" w:hAnsi="Times New Roman" w:cs="Times New Roman"/>
          <w:color w:val="000000"/>
          <w:sz w:val="24"/>
          <w:szCs w:val="24"/>
        </w:rPr>
        <w:t>Palka</w:t>
      </w:r>
      <w:proofErr w:type="spellEnd"/>
      <w:r w:rsidR="00763C91">
        <w:rPr>
          <w:rFonts w:ascii="Times New Roman" w:hAnsi="Times New Roman" w:cs="Times New Roman"/>
          <w:color w:val="000000"/>
          <w:sz w:val="24"/>
          <w:szCs w:val="24"/>
        </w:rPr>
        <w:t xml:space="preserve"> et al., 2017)</w:t>
      </w:r>
      <w:bookmarkStart w:id="0" w:name="_GoBack"/>
      <w:bookmarkEnd w:id="0"/>
      <w:r w:rsidR="00EA028A">
        <w:rPr>
          <w:rFonts w:ascii="Times New Roman" w:hAnsi="Times New Roman" w:cs="Times New Roman"/>
          <w:color w:val="000000"/>
          <w:sz w:val="24"/>
          <w:szCs w:val="24"/>
        </w:rPr>
        <w:t xml:space="preserve">.  </w:t>
      </w:r>
      <w:r w:rsidR="00F52268" w:rsidRPr="00E078FC">
        <w:rPr>
          <w:rFonts w:ascii="Times New Roman" w:hAnsi="Times New Roman" w:cs="Times New Roman"/>
          <w:color w:val="000000"/>
          <w:sz w:val="24"/>
          <w:szCs w:val="24"/>
        </w:rPr>
        <w:t>The amount of time an animal remained in view of the observer was estimated during the NE aerial and shipboard surveys using the times and places groups were initially detected.</w:t>
      </w:r>
    </w:p>
    <w:p w:rsidR="00E078FC" w:rsidRDefault="00E078FC" w:rsidP="00212A45">
      <w:pPr>
        <w:spacing w:line="480" w:lineRule="auto"/>
        <w:rPr>
          <w:rFonts w:ascii="Times New Roman" w:hAnsi="Times New Roman" w:cs="Times New Roman"/>
          <w:color w:val="000000"/>
          <w:sz w:val="24"/>
          <w:szCs w:val="24"/>
        </w:rPr>
      </w:pPr>
    </w:p>
    <w:p w:rsidR="00E078FC" w:rsidRDefault="00E078FC" w:rsidP="00212A45">
      <w:pPr>
        <w:spacing w:line="480" w:lineRule="auto"/>
        <w:rPr>
          <w:rFonts w:ascii="Times New Roman" w:hAnsi="Times New Roman" w:cs="Times New Roman"/>
          <w:color w:val="000000"/>
          <w:sz w:val="24"/>
          <w:szCs w:val="24"/>
        </w:rPr>
      </w:pPr>
      <w:r w:rsidRPr="0067069E">
        <w:rPr>
          <w:rFonts w:ascii="Times New Roman" w:hAnsi="Times New Roman" w:cs="Times New Roman"/>
          <w:b/>
          <w:color w:val="000000"/>
          <w:sz w:val="24"/>
          <w:szCs w:val="24"/>
        </w:rPr>
        <w:t>Informed Priors</w:t>
      </w:r>
      <w:r w:rsidR="0067069E" w:rsidRPr="0067069E">
        <w:rPr>
          <w:rFonts w:ascii="Times New Roman" w:hAnsi="Times New Roman" w:cs="Times New Roman"/>
          <w:b/>
          <w:color w:val="000000"/>
          <w:sz w:val="24"/>
          <w:szCs w:val="24"/>
        </w:rPr>
        <w:t>.</w:t>
      </w:r>
      <w:r w:rsidR="0067069E">
        <w:rPr>
          <w:rFonts w:ascii="Times New Roman" w:hAnsi="Times New Roman" w:cs="Times New Roman"/>
          <w:color w:val="000000"/>
          <w:sz w:val="24"/>
          <w:szCs w:val="24"/>
        </w:rPr>
        <w:t xml:space="preserve"> To use information on the </w:t>
      </w:r>
      <w:proofErr w:type="gramStart"/>
      <w:r w:rsidR="0067069E" w:rsidRPr="00E82D85">
        <w:rPr>
          <w:rFonts w:ascii="Times New Roman" w:hAnsi="Times New Roman" w:cs="Times New Roman"/>
          <w:i/>
          <w:color w:val="000000"/>
          <w:sz w:val="24"/>
          <w:szCs w:val="24"/>
        </w:rPr>
        <w:t>g(</w:t>
      </w:r>
      <w:proofErr w:type="gramEnd"/>
      <w:r w:rsidR="0067069E" w:rsidRPr="00E82D85">
        <w:rPr>
          <w:rFonts w:ascii="Times New Roman" w:hAnsi="Times New Roman" w:cs="Times New Roman"/>
          <w:i/>
          <w:color w:val="000000"/>
          <w:sz w:val="24"/>
          <w:szCs w:val="24"/>
        </w:rPr>
        <w:t>0)</w:t>
      </w:r>
      <w:r w:rsidR="0067069E">
        <w:rPr>
          <w:rFonts w:ascii="Times New Roman" w:hAnsi="Times New Roman" w:cs="Times New Roman"/>
          <w:color w:val="000000"/>
          <w:sz w:val="24"/>
          <w:szCs w:val="24"/>
        </w:rPr>
        <w:t xml:space="preserve"> </w:t>
      </w:r>
      <w:r w:rsidR="00205AC1">
        <w:rPr>
          <w:rFonts w:ascii="Times New Roman" w:hAnsi="Times New Roman" w:cs="Times New Roman"/>
          <w:color w:val="000000"/>
          <w:sz w:val="24"/>
          <w:szCs w:val="24"/>
        </w:rPr>
        <w:t>for</w:t>
      </w:r>
      <w:r w:rsidR="0067069E">
        <w:rPr>
          <w:rFonts w:ascii="Times New Roman" w:hAnsi="Times New Roman" w:cs="Times New Roman"/>
          <w:color w:val="000000"/>
          <w:sz w:val="24"/>
          <w:szCs w:val="24"/>
        </w:rPr>
        <w:t xml:space="preserve"> the aerial surveys and surface availability </w:t>
      </w:r>
      <w:r w:rsidR="00904CC3">
        <w:rPr>
          <w:rFonts w:ascii="Times New Roman" w:hAnsi="Times New Roman" w:cs="Times New Roman"/>
          <w:color w:val="000000"/>
          <w:sz w:val="24"/>
          <w:szCs w:val="24"/>
        </w:rPr>
        <w:t xml:space="preserve">in the Bayesian </w:t>
      </w:r>
      <w:r w:rsidR="00E82D85">
        <w:rPr>
          <w:rFonts w:ascii="Times New Roman" w:hAnsi="Times New Roman" w:cs="Times New Roman"/>
          <w:color w:val="000000"/>
          <w:sz w:val="24"/>
          <w:szCs w:val="24"/>
        </w:rPr>
        <w:t>Method</w:t>
      </w:r>
      <w:r w:rsidR="00904CC3">
        <w:rPr>
          <w:rFonts w:ascii="Times New Roman" w:hAnsi="Times New Roman" w:cs="Times New Roman"/>
          <w:color w:val="000000"/>
          <w:sz w:val="24"/>
          <w:szCs w:val="24"/>
        </w:rPr>
        <w:t xml:space="preserve"> </w:t>
      </w:r>
      <w:r w:rsidR="0067069E">
        <w:rPr>
          <w:rFonts w:ascii="Times New Roman" w:hAnsi="Times New Roman" w:cs="Times New Roman"/>
          <w:color w:val="000000"/>
          <w:sz w:val="24"/>
          <w:szCs w:val="24"/>
        </w:rPr>
        <w:t xml:space="preserve">the </w:t>
      </w:r>
      <w:r w:rsidR="00632E19">
        <w:rPr>
          <w:rFonts w:ascii="Times New Roman" w:hAnsi="Times New Roman" w:cs="Times New Roman"/>
          <w:color w:val="000000"/>
          <w:sz w:val="24"/>
          <w:szCs w:val="24"/>
        </w:rPr>
        <w:t>estimates</w:t>
      </w:r>
      <w:r w:rsidR="0067069E">
        <w:rPr>
          <w:rFonts w:ascii="Times New Roman" w:hAnsi="Times New Roman" w:cs="Times New Roman"/>
          <w:color w:val="000000"/>
          <w:sz w:val="24"/>
          <w:szCs w:val="24"/>
        </w:rPr>
        <w:t xml:space="preserve"> and st</w:t>
      </w:r>
      <w:r w:rsidR="00632E19">
        <w:rPr>
          <w:rFonts w:ascii="Times New Roman" w:hAnsi="Times New Roman" w:cs="Times New Roman"/>
          <w:color w:val="000000"/>
          <w:sz w:val="24"/>
          <w:szCs w:val="24"/>
        </w:rPr>
        <w:t>an</w:t>
      </w:r>
      <w:r w:rsidR="00205AC1">
        <w:rPr>
          <w:rFonts w:ascii="Times New Roman" w:hAnsi="Times New Roman" w:cs="Times New Roman"/>
          <w:color w:val="000000"/>
          <w:sz w:val="24"/>
          <w:szCs w:val="24"/>
        </w:rPr>
        <w:t xml:space="preserve">dard errors derived from </w:t>
      </w:r>
      <w:proofErr w:type="spellStart"/>
      <w:r w:rsidR="00205AC1">
        <w:rPr>
          <w:rFonts w:ascii="Times New Roman" w:hAnsi="Times New Roman" w:cs="Times New Roman"/>
          <w:color w:val="000000"/>
          <w:sz w:val="24"/>
          <w:szCs w:val="24"/>
        </w:rPr>
        <w:t>Pal</w:t>
      </w:r>
      <w:r w:rsidR="0067069E">
        <w:rPr>
          <w:rFonts w:ascii="Times New Roman" w:hAnsi="Times New Roman" w:cs="Times New Roman"/>
          <w:color w:val="000000"/>
          <w:sz w:val="24"/>
          <w:szCs w:val="24"/>
        </w:rPr>
        <w:t>k</w:t>
      </w:r>
      <w:r w:rsidR="00205AC1">
        <w:rPr>
          <w:rFonts w:ascii="Times New Roman" w:hAnsi="Times New Roman" w:cs="Times New Roman"/>
          <w:color w:val="000000"/>
          <w:sz w:val="24"/>
          <w:szCs w:val="24"/>
        </w:rPr>
        <w:t>a</w:t>
      </w:r>
      <w:proofErr w:type="spellEnd"/>
      <w:r w:rsidR="0067069E">
        <w:rPr>
          <w:rFonts w:ascii="Times New Roman" w:hAnsi="Times New Roman" w:cs="Times New Roman"/>
          <w:color w:val="000000"/>
          <w:sz w:val="24"/>
          <w:szCs w:val="24"/>
        </w:rPr>
        <w:t xml:space="preserve"> et al. </w:t>
      </w:r>
      <w:r w:rsidR="00904CC3">
        <w:rPr>
          <w:rFonts w:ascii="Times New Roman" w:hAnsi="Times New Roman" w:cs="Times New Roman"/>
          <w:color w:val="000000"/>
          <w:sz w:val="24"/>
          <w:szCs w:val="24"/>
        </w:rPr>
        <w:t xml:space="preserve">(2017) </w:t>
      </w:r>
      <w:r w:rsidR="0067069E">
        <w:rPr>
          <w:rFonts w:ascii="Times New Roman" w:hAnsi="Times New Roman" w:cs="Times New Roman"/>
          <w:color w:val="000000"/>
          <w:sz w:val="24"/>
          <w:szCs w:val="24"/>
        </w:rPr>
        <w:t>were used to dev</w:t>
      </w:r>
      <w:r w:rsidR="00EA028A">
        <w:rPr>
          <w:rFonts w:ascii="Times New Roman" w:hAnsi="Times New Roman" w:cs="Times New Roman"/>
          <w:color w:val="000000"/>
          <w:sz w:val="24"/>
          <w:szCs w:val="24"/>
        </w:rPr>
        <w:t>e</w:t>
      </w:r>
      <w:r w:rsidR="0067069E">
        <w:rPr>
          <w:rFonts w:ascii="Times New Roman" w:hAnsi="Times New Roman" w:cs="Times New Roman"/>
          <w:color w:val="000000"/>
          <w:sz w:val="24"/>
          <w:szCs w:val="24"/>
        </w:rPr>
        <w:t>lop informative prio</w:t>
      </w:r>
      <w:r w:rsidR="00205AC1">
        <w:rPr>
          <w:rFonts w:ascii="Times New Roman" w:hAnsi="Times New Roman" w:cs="Times New Roman"/>
          <w:color w:val="000000"/>
          <w:sz w:val="24"/>
          <w:szCs w:val="24"/>
        </w:rPr>
        <w:t>r</w:t>
      </w:r>
      <w:r w:rsidR="0067069E">
        <w:rPr>
          <w:rFonts w:ascii="Times New Roman" w:hAnsi="Times New Roman" w:cs="Times New Roman"/>
          <w:color w:val="000000"/>
          <w:sz w:val="24"/>
          <w:szCs w:val="24"/>
        </w:rPr>
        <w:t xml:space="preserve"> </w:t>
      </w:r>
      <w:r w:rsidR="00205AC1">
        <w:rPr>
          <w:rFonts w:ascii="Times New Roman" w:hAnsi="Times New Roman" w:cs="Times New Roman"/>
          <w:color w:val="000000"/>
          <w:sz w:val="24"/>
          <w:szCs w:val="24"/>
        </w:rPr>
        <w:t xml:space="preserve">distributions </w:t>
      </w:r>
      <w:r w:rsidR="0067069E">
        <w:rPr>
          <w:rFonts w:ascii="Times New Roman" w:hAnsi="Times New Roman" w:cs="Times New Roman"/>
          <w:color w:val="000000"/>
          <w:sz w:val="24"/>
          <w:szCs w:val="24"/>
        </w:rPr>
        <w:t xml:space="preserve">using the </w:t>
      </w:r>
      <w:r w:rsidR="00632E19">
        <w:rPr>
          <w:rFonts w:ascii="Times New Roman" w:hAnsi="Times New Roman" w:cs="Times New Roman"/>
          <w:color w:val="000000"/>
          <w:sz w:val="24"/>
          <w:szCs w:val="24"/>
        </w:rPr>
        <w:t xml:space="preserve">same </w:t>
      </w:r>
      <w:r w:rsidR="0067069E">
        <w:rPr>
          <w:rFonts w:ascii="Times New Roman" w:hAnsi="Times New Roman" w:cs="Times New Roman"/>
          <w:color w:val="000000"/>
          <w:sz w:val="24"/>
          <w:szCs w:val="24"/>
        </w:rPr>
        <w:t xml:space="preserve">method </w:t>
      </w:r>
      <w:r w:rsidR="00632E19">
        <w:rPr>
          <w:rFonts w:ascii="Times New Roman" w:hAnsi="Times New Roman" w:cs="Times New Roman"/>
          <w:color w:val="000000"/>
          <w:sz w:val="24"/>
          <w:szCs w:val="24"/>
        </w:rPr>
        <w:t>described in</w:t>
      </w:r>
      <w:r w:rsidR="0067069E">
        <w:rPr>
          <w:rFonts w:ascii="Times New Roman" w:hAnsi="Times New Roman" w:cs="Times New Roman"/>
          <w:color w:val="000000"/>
          <w:sz w:val="24"/>
          <w:szCs w:val="24"/>
        </w:rPr>
        <w:t xml:space="preserve"> Pardo et al. </w:t>
      </w:r>
      <w:r w:rsidR="00205AC1">
        <w:rPr>
          <w:rFonts w:ascii="Times New Roman" w:hAnsi="Times New Roman" w:cs="Times New Roman"/>
          <w:color w:val="000000"/>
          <w:sz w:val="24"/>
          <w:szCs w:val="24"/>
        </w:rPr>
        <w:t xml:space="preserve">(2015). </w:t>
      </w:r>
      <w:r w:rsidR="0067069E">
        <w:rPr>
          <w:rFonts w:ascii="Times New Roman" w:hAnsi="Times New Roman" w:cs="Times New Roman"/>
          <w:color w:val="000000"/>
          <w:sz w:val="24"/>
          <w:szCs w:val="24"/>
        </w:rPr>
        <w:t xml:space="preserve"> </w:t>
      </w:r>
      <w:r w:rsidR="00205AC1">
        <w:rPr>
          <w:rFonts w:ascii="Times New Roman" w:hAnsi="Times New Roman" w:cs="Times New Roman"/>
          <w:color w:val="000000"/>
          <w:sz w:val="24"/>
          <w:szCs w:val="24"/>
        </w:rPr>
        <w:t xml:space="preserve">Specifically, for a given estimate </w:t>
      </w:r>
      <w:r w:rsidR="00904CC3">
        <w:rPr>
          <w:rFonts w:ascii="Times New Roman" w:hAnsi="Times New Roman" w:cs="Times New Roman"/>
          <w:color w:val="000000"/>
          <w:sz w:val="24"/>
          <w:szCs w:val="24"/>
        </w:rPr>
        <w:t xml:space="preserve">and standard error </w:t>
      </w:r>
      <w:r w:rsidR="00205AC1">
        <w:rPr>
          <w:rFonts w:ascii="Times New Roman" w:hAnsi="Times New Roman" w:cs="Times New Roman"/>
          <w:color w:val="000000"/>
          <w:sz w:val="24"/>
          <w:szCs w:val="24"/>
        </w:rPr>
        <w:t xml:space="preserve">a beta prior </w:t>
      </w:r>
      <w:r w:rsidR="00904CC3">
        <w:rPr>
          <w:rFonts w:ascii="Times New Roman" w:hAnsi="Times New Roman" w:cs="Times New Roman"/>
          <w:color w:val="000000"/>
          <w:sz w:val="24"/>
          <w:szCs w:val="24"/>
        </w:rPr>
        <w:t>distribution</w:t>
      </w:r>
      <w:r w:rsidR="00205AC1">
        <w:rPr>
          <w:rFonts w:ascii="Times New Roman" w:hAnsi="Times New Roman" w:cs="Times New Roman"/>
          <w:color w:val="000000"/>
          <w:sz w:val="24"/>
          <w:szCs w:val="24"/>
        </w:rPr>
        <w:t xml:space="preserve"> can be constructed as</w:t>
      </w:r>
    </w:p>
    <w:p w:rsidR="00205AC1" w:rsidRDefault="00205AC1" w:rsidP="00212A4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92A66">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Beta(</w:t>
      </w:r>
      <w:proofErr w:type="spellStart"/>
      <w:proofErr w:type="gramEnd"/>
      <w:r>
        <w:rPr>
          <w:rFonts w:ascii="Times New Roman" w:hAnsi="Times New Roman" w:cs="Times New Roman"/>
          <w:color w:val="000000"/>
          <w:sz w:val="24"/>
          <w:szCs w:val="24"/>
        </w:rPr>
        <w:t>a,b</w:t>
      </w:r>
      <w:proofErr w:type="spellEnd"/>
      <w:r>
        <w:rPr>
          <w:rFonts w:ascii="Times New Roman" w:hAnsi="Times New Roman" w:cs="Times New Roman"/>
          <w:color w:val="000000"/>
          <w:sz w:val="24"/>
          <w:szCs w:val="24"/>
        </w:rPr>
        <w:t>)</w:t>
      </w:r>
    </w:p>
    <w:p w:rsidR="00205AC1" w:rsidRDefault="00205AC1" w:rsidP="00212A4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 </w:t>
      </w:r>
      <m:oMath>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q</m:t>
            </m:r>
          </m:e>
        </m:acc>
      </m:oMath>
      <w:r>
        <w:rPr>
          <w:rFonts w:ascii="Times New Roman" w:hAnsi="Times New Roman" w:cs="Times New Roman"/>
          <w:color w:val="000000"/>
          <w:sz w:val="24"/>
          <w:szCs w:val="24"/>
        </w:rPr>
        <w:t>c</w:t>
      </w:r>
    </w:p>
    <w:p w:rsidR="00205AC1" w:rsidRDefault="00205AC1" w:rsidP="00212A4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1-</w:t>
      </w:r>
      <m:oMath>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oMath>
      <w:r>
        <w:rPr>
          <w:rFonts w:ascii="Times New Roman" w:hAnsi="Times New Roman" w:cs="Times New Roman"/>
          <w:color w:val="000000"/>
          <w:sz w:val="24"/>
          <w:szCs w:val="24"/>
        </w:rPr>
        <w:t>)</w:t>
      </w:r>
    </w:p>
    <w:p w:rsidR="00205AC1" w:rsidRDefault="00205AC1" w:rsidP="00212A4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w:t>
      </w:r>
      <m:oMath>
        <m:d>
          <m:dPr>
            <m:begChr m:val="["/>
            <m:endChr m:val="]"/>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r>
                  <w:rPr>
                    <w:rFonts w:ascii="Cambria Math" w:hAnsi="Cambria Math" w:cs="Times New Roman"/>
                    <w:color w:val="000000"/>
                    <w:sz w:val="24"/>
                    <w:szCs w:val="24"/>
                  </w:rPr>
                  <m:t>(1-</m:t>
                </m:r>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r>
                  <w:rPr>
                    <w:rFonts w:ascii="Cambria Math" w:hAnsi="Cambria Math" w:cs="Times New Roman"/>
                    <w:color w:val="000000"/>
                    <w:sz w:val="24"/>
                    <w:szCs w:val="24"/>
                  </w:rPr>
                  <m:t>)</m:t>
                </m:r>
              </m:num>
              <m:den>
                <m:sSup>
                  <m:sSupPr>
                    <m:ctrlPr>
                      <w:rPr>
                        <w:rFonts w:ascii="Cambria Math" w:hAnsi="Cambria Math" w:cs="Times New Roman"/>
                        <w:i/>
                        <w:color w:val="000000"/>
                        <w:sz w:val="24"/>
                        <w:szCs w:val="24"/>
                      </w:rPr>
                    </m:ctrlPr>
                  </m:sSupPr>
                  <m:e>
                    <m:d>
                      <m:dPr>
                        <m:ctrlPr>
                          <w:rPr>
                            <w:rFonts w:ascii="Cambria Math" w:hAnsi="Cambria Math" w:cs="Times New Roman"/>
                            <w:i/>
                            <w:color w:val="000000"/>
                            <w:sz w:val="24"/>
                            <w:szCs w:val="24"/>
                          </w:rPr>
                        </m:ctrlPr>
                      </m:d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CV</m:t>
                            </m:r>
                          </m:e>
                          <m:sub>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sub>
                        </m:sSub>
                      </m:e>
                    </m:d>
                  </m:e>
                  <m:sup>
                    <m:r>
                      <w:rPr>
                        <w:rFonts w:ascii="Cambria Math" w:hAnsi="Cambria Math" w:cs="Times New Roman"/>
                        <w:color w:val="000000"/>
                        <w:sz w:val="24"/>
                        <w:szCs w:val="24"/>
                      </w:rPr>
                      <m:t>2</m:t>
                    </m:r>
                  </m:sup>
                </m:sSup>
              </m:den>
            </m:f>
          </m:e>
        </m:d>
        <m:r>
          <w:rPr>
            <w:rFonts w:ascii="Cambria Math" w:hAnsi="Cambria Math" w:cs="Times New Roman"/>
            <w:color w:val="000000"/>
            <w:sz w:val="24"/>
            <w:szCs w:val="24"/>
          </w:rPr>
          <m:t>-1</m:t>
        </m:r>
      </m:oMath>
    </w:p>
    <w:p w:rsidR="00205AC1" w:rsidRDefault="00205AC1" w:rsidP="00212A45">
      <w:pPr>
        <w:spacing w:line="480" w:lineRule="auto"/>
        <w:rPr>
          <w:rFonts w:ascii="Times New Roman" w:hAnsi="Times New Roman" w:cs="Times New Roman"/>
          <w:color w:val="000000"/>
          <w:sz w:val="24"/>
          <w:szCs w:val="24"/>
        </w:rPr>
      </w:pPr>
    </w:p>
    <w:p w:rsidR="00205AC1" w:rsidRDefault="00205AC1" w:rsidP="00212A45">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where</w:t>
      </w:r>
      <w:proofErr w:type="gramEnd"/>
      <w:r w:rsidR="00F92A66">
        <w:rPr>
          <w:rFonts w:ascii="Times New Roman" w:hAnsi="Times New Roman" w:cs="Times New Roman"/>
          <w:color w:val="000000"/>
          <w:sz w:val="24"/>
          <w:szCs w:val="24"/>
        </w:rPr>
        <w:t xml:space="preserve"> </w:t>
      </w:r>
      <w:r w:rsidR="00F92A66" w:rsidRPr="00F92A66">
        <w:rPr>
          <w:rFonts w:ascii="Times New Roman" w:hAnsi="Times New Roman" w:cs="Times New Roman"/>
          <w:i/>
          <w:color w:val="000000"/>
          <w:sz w:val="24"/>
          <w:szCs w:val="24"/>
        </w:rPr>
        <w:t xml:space="preserve">q </w:t>
      </w:r>
      <w:r w:rsidR="00F92A66">
        <w:rPr>
          <w:rFonts w:ascii="Times New Roman" w:hAnsi="Times New Roman" w:cs="Times New Roman"/>
          <w:color w:val="000000"/>
          <w:sz w:val="24"/>
          <w:szCs w:val="24"/>
        </w:rPr>
        <w:t xml:space="preserve">is the quantity of interest, </w:t>
      </w:r>
      <w:r>
        <w:rPr>
          <w:rFonts w:ascii="Times New Roman" w:hAnsi="Times New Roman" w:cs="Times New Roman"/>
          <w:color w:val="000000"/>
          <w:sz w:val="24"/>
          <w:szCs w:val="24"/>
        </w:rPr>
        <w:t xml:space="preserve"> </w:t>
      </w:r>
      <m:oMath>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q</m:t>
            </m:r>
          </m:e>
        </m:acc>
      </m:oMath>
      <w:r w:rsidR="00632E19">
        <w:rPr>
          <w:rFonts w:ascii="Times New Roman" w:hAnsi="Times New Roman" w:cs="Times New Roman"/>
          <w:color w:val="000000"/>
          <w:sz w:val="24"/>
          <w:szCs w:val="24"/>
        </w:rPr>
        <w:t xml:space="preserve"> is an estimate</w:t>
      </w:r>
      <w:r>
        <w:rPr>
          <w:rFonts w:ascii="Times New Roman" w:hAnsi="Times New Roman" w:cs="Times New Roman"/>
          <w:color w:val="000000"/>
          <w:sz w:val="24"/>
          <w:szCs w:val="24"/>
        </w:rPr>
        <w:t xml:space="preserve"> of </w:t>
      </w:r>
      <w:r w:rsidR="00F92A66" w:rsidRPr="00F92A66">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and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CV</m:t>
            </m:r>
          </m:e>
          <m:sub>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q</m:t>
                </m:r>
              </m:e>
            </m:acc>
          </m:sub>
        </m:sSub>
      </m:oMath>
      <w:r>
        <w:rPr>
          <w:rFonts w:ascii="Times New Roman" w:hAnsi="Times New Roman" w:cs="Times New Roman"/>
          <w:color w:val="000000"/>
          <w:sz w:val="24"/>
          <w:szCs w:val="24"/>
        </w:rPr>
        <w:t xml:space="preserve"> is the coeffic</w:t>
      </w:r>
      <w:r w:rsidR="00632E19">
        <w:rPr>
          <w:rFonts w:ascii="Times New Roman" w:hAnsi="Times New Roman" w:cs="Times New Roman"/>
          <w:color w:val="000000"/>
          <w:sz w:val="24"/>
          <w:szCs w:val="24"/>
        </w:rPr>
        <w:t>ien</w:t>
      </w:r>
      <w:r>
        <w:rPr>
          <w:rFonts w:ascii="Times New Roman" w:hAnsi="Times New Roman" w:cs="Times New Roman"/>
          <w:color w:val="000000"/>
          <w:sz w:val="24"/>
          <w:szCs w:val="24"/>
        </w:rPr>
        <w:t xml:space="preserve">t </w:t>
      </w:r>
      <w:r w:rsidR="00632E19">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variation of that estimate</w:t>
      </w:r>
      <w:r w:rsidR="00462086">
        <w:rPr>
          <w:rFonts w:ascii="Times New Roman" w:hAnsi="Times New Roman" w:cs="Times New Roman"/>
          <w:color w:val="000000"/>
          <w:sz w:val="24"/>
          <w:szCs w:val="24"/>
        </w:rPr>
        <w:t xml:space="preserve"> and a and b are parameters of a Beta distribution</w:t>
      </w:r>
      <w:r>
        <w:rPr>
          <w:rFonts w:ascii="Times New Roman" w:hAnsi="Times New Roman" w:cs="Times New Roman"/>
          <w:color w:val="000000"/>
          <w:sz w:val="24"/>
          <w:szCs w:val="24"/>
        </w:rPr>
        <w:t>.</w:t>
      </w:r>
    </w:p>
    <w:p w:rsidR="00A4325E" w:rsidRDefault="00A4325E" w:rsidP="00212A45">
      <w:pPr>
        <w:spacing w:line="480" w:lineRule="auto"/>
        <w:rPr>
          <w:rFonts w:ascii="Times New Roman" w:hAnsi="Times New Roman" w:cs="Times New Roman"/>
          <w:color w:val="000000"/>
          <w:sz w:val="24"/>
          <w:szCs w:val="24"/>
        </w:rPr>
      </w:pPr>
    </w:p>
    <w:p w:rsidR="00A4325E" w:rsidRPr="00A4325E" w:rsidRDefault="00A4325E" w:rsidP="00A4325E">
      <w:pPr>
        <w:spacing w:line="480" w:lineRule="auto"/>
        <w:rPr>
          <w:rFonts w:ascii="Times New Roman" w:hAnsi="Times New Roman" w:cs="Times New Roman"/>
          <w:b/>
          <w:sz w:val="24"/>
          <w:szCs w:val="24"/>
          <w:lang w:val="en-GB"/>
        </w:rPr>
      </w:pPr>
      <w:r w:rsidRPr="00A4325E">
        <w:rPr>
          <w:rFonts w:ascii="Times New Roman" w:hAnsi="Times New Roman" w:cs="Times New Roman"/>
          <w:b/>
          <w:sz w:val="24"/>
          <w:szCs w:val="24"/>
          <w:lang w:val="en-GB"/>
        </w:rPr>
        <w:t>REFERENCES</w:t>
      </w:r>
    </w:p>
    <w:p w:rsidR="00AA3790" w:rsidRDefault="00AA3790" w:rsidP="00AA3790">
      <w:pPr>
        <w:spacing w:after="0" w:line="480" w:lineRule="auto"/>
        <w:rPr>
          <w:rFonts w:ascii="Times New Roman" w:hAnsi="Times New Roman" w:cs="Times New Roman"/>
          <w:sz w:val="24"/>
          <w:szCs w:val="24"/>
        </w:rPr>
      </w:pPr>
      <w:proofErr w:type="spellStart"/>
      <w:proofErr w:type="gramStart"/>
      <w:r w:rsidRPr="007723FA">
        <w:rPr>
          <w:rFonts w:ascii="Times New Roman" w:hAnsi="Times New Roman" w:cs="Times New Roman"/>
          <w:sz w:val="24"/>
          <w:szCs w:val="24"/>
        </w:rPr>
        <w:t>Laak</w:t>
      </w:r>
      <w:r>
        <w:rPr>
          <w:rFonts w:ascii="Times New Roman" w:hAnsi="Times New Roman" w:cs="Times New Roman"/>
          <w:sz w:val="24"/>
          <w:szCs w:val="24"/>
        </w:rPr>
        <w:t>e</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Calambokidis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Osmek</w:t>
      </w:r>
      <w:proofErr w:type="spellEnd"/>
      <w:r>
        <w:rPr>
          <w:rFonts w:ascii="Times New Roman" w:hAnsi="Times New Roman" w:cs="Times New Roman"/>
          <w:sz w:val="24"/>
          <w:szCs w:val="24"/>
        </w:rPr>
        <w:t xml:space="preserve">, S.D. &amp; </w:t>
      </w:r>
      <w:proofErr w:type="spellStart"/>
      <w:r w:rsidRPr="007723FA">
        <w:rPr>
          <w:rFonts w:ascii="Times New Roman" w:hAnsi="Times New Roman" w:cs="Times New Roman"/>
          <w:sz w:val="24"/>
          <w:szCs w:val="24"/>
        </w:rPr>
        <w:t>Rugh</w:t>
      </w:r>
      <w:proofErr w:type="spellEnd"/>
      <w:r>
        <w:rPr>
          <w:rFonts w:ascii="Times New Roman" w:hAnsi="Times New Roman" w:cs="Times New Roman"/>
          <w:sz w:val="24"/>
          <w:szCs w:val="24"/>
        </w:rPr>
        <w:t>,</w:t>
      </w:r>
      <w:r w:rsidRPr="007723FA">
        <w:rPr>
          <w:rFonts w:ascii="Times New Roman" w:hAnsi="Times New Roman" w:cs="Times New Roman"/>
          <w:sz w:val="24"/>
          <w:szCs w:val="24"/>
        </w:rPr>
        <w:t xml:space="preserve"> D</w:t>
      </w:r>
      <w:r>
        <w:rPr>
          <w:rFonts w:ascii="Times New Roman" w:hAnsi="Times New Roman" w:cs="Times New Roman"/>
          <w:sz w:val="24"/>
          <w:szCs w:val="24"/>
        </w:rPr>
        <w:t>.</w:t>
      </w:r>
      <w:r w:rsidRPr="007723FA">
        <w:rPr>
          <w:rFonts w:ascii="Times New Roman" w:hAnsi="Times New Roman" w:cs="Times New Roman"/>
          <w:sz w:val="24"/>
          <w:szCs w:val="24"/>
        </w:rPr>
        <w:t>J.</w:t>
      </w:r>
      <w:proofErr w:type="gramEnd"/>
      <w:r w:rsidRPr="007723FA">
        <w:rPr>
          <w:rFonts w:ascii="Times New Roman" w:hAnsi="Times New Roman" w:cs="Times New Roman"/>
          <w:sz w:val="24"/>
          <w:szCs w:val="24"/>
        </w:rPr>
        <w:t xml:space="preserve"> </w:t>
      </w:r>
      <w:r>
        <w:rPr>
          <w:rFonts w:ascii="Times New Roman" w:hAnsi="Times New Roman" w:cs="Times New Roman"/>
          <w:sz w:val="24"/>
          <w:szCs w:val="24"/>
        </w:rPr>
        <w:t xml:space="preserve"> (1997)</w:t>
      </w:r>
      <w:r w:rsidRPr="007723FA">
        <w:rPr>
          <w:rFonts w:ascii="Times New Roman" w:hAnsi="Times New Roman" w:cs="Times New Roman"/>
          <w:sz w:val="24"/>
          <w:szCs w:val="24"/>
        </w:rPr>
        <w:t xml:space="preserve"> Probability of detecting harbor porpoise from aerial surveys: Estimating </w:t>
      </w:r>
      <w:proofErr w:type="gramStart"/>
      <w:r w:rsidRPr="007723FA">
        <w:rPr>
          <w:rFonts w:ascii="Times New Roman" w:hAnsi="Times New Roman" w:cs="Times New Roman"/>
          <w:sz w:val="24"/>
          <w:szCs w:val="24"/>
        </w:rPr>
        <w:t>g(</w:t>
      </w:r>
      <w:proofErr w:type="gramEnd"/>
      <w:r w:rsidRPr="007723FA">
        <w:rPr>
          <w:rFonts w:ascii="Times New Roman" w:hAnsi="Times New Roman" w:cs="Times New Roman"/>
          <w:sz w:val="24"/>
          <w:szCs w:val="24"/>
        </w:rPr>
        <w:t xml:space="preserve">0). </w:t>
      </w:r>
      <w:r w:rsidRPr="008305AB">
        <w:rPr>
          <w:rFonts w:ascii="Times New Roman" w:hAnsi="Times New Roman" w:cs="Times New Roman"/>
          <w:i/>
          <w:sz w:val="24"/>
          <w:szCs w:val="24"/>
        </w:rPr>
        <w:t>Journal of Wildlife Management</w:t>
      </w:r>
      <w:r w:rsidRPr="008C6FF3">
        <w:rPr>
          <w:rFonts w:ascii="Times New Roman" w:hAnsi="Times New Roman" w:cs="Times New Roman"/>
          <w:sz w:val="24"/>
          <w:szCs w:val="24"/>
        </w:rPr>
        <w:t>,</w:t>
      </w:r>
      <w:r>
        <w:rPr>
          <w:rFonts w:ascii="Times New Roman" w:hAnsi="Times New Roman" w:cs="Times New Roman"/>
          <w:sz w:val="24"/>
          <w:szCs w:val="24"/>
        </w:rPr>
        <w:t xml:space="preserve"> </w:t>
      </w:r>
      <w:r w:rsidRPr="008305AB">
        <w:rPr>
          <w:rFonts w:ascii="Times New Roman" w:hAnsi="Times New Roman" w:cs="Times New Roman"/>
          <w:b/>
          <w:sz w:val="24"/>
          <w:szCs w:val="24"/>
        </w:rPr>
        <w:t>61</w:t>
      </w:r>
      <w:r>
        <w:rPr>
          <w:rFonts w:ascii="Times New Roman" w:hAnsi="Times New Roman" w:cs="Times New Roman"/>
          <w:sz w:val="24"/>
          <w:szCs w:val="24"/>
        </w:rPr>
        <w:t xml:space="preserve">, </w:t>
      </w:r>
      <w:r w:rsidRPr="007723FA">
        <w:rPr>
          <w:rFonts w:ascii="Times New Roman" w:hAnsi="Times New Roman" w:cs="Times New Roman"/>
          <w:sz w:val="24"/>
          <w:szCs w:val="24"/>
        </w:rPr>
        <w:t>63-75.</w:t>
      </w:r>
    </w:p>
    <w:p w:rsidR="00AA3790" w:rsidRDefault="00AA3790" w:rsidP="00AA3790">
      <w:pPr>
        <w:spacing w:after="0" w:line="480" w:lineRule="auto"/>
        <w:rPr>
          <w:rFonts w:ascii="Times New Roman" w:hAnsi="Times New Roman" w:cs="Times New Roman"/>
          <w:sz w:val="24"/>
          <w:szCs w:val="24"/>
        </w:rPr>
      </w:pPr>
    </w:p>
    <w:p w:rsidR="00A4325E" w:rsidRDefault="00A4325E" w:rsidP="00AA3790">
      <w:pPr>
        <w:spacing w:after="0" w:line="480" w:lineRule="auto"/>
        <w:rPr>
          <w:rFonts w:ascii="Times New Roman" w:hAnsi="Times New Roman" w:cs="Times New Roman"/>
          <w:sz w:val="24"/>
          <w:szCs w:val="24"/>
        </w:rPr>
      </w:pPr>
      <w:proofErr w:type="spellStart"/>
      <w:r w:rsidRPr="00A4325E">
        <w:rPr>
          <w:rFonts w:ascii="Times New Roman" w:hAnsi="Times New Roman" w:cs="Times New Roman"/>
          <w:sz w:val="24"/>
          <w:szCs w:val="24"/>
        </w:rPr>
        <w:t>Palka</w:t>
      </w:r>
      <w:proofErr w:type="spellEnd"/>
      <w:r w:rsidRPr="00A4325E">
        <w:rPr>
          <w:rFonts w:ascii="Times New Roman" w:hAnsi="Times New Roman" w:cs="Times New Roman"/>
          <w:sz w:val="24"/>
          <w:szCs w:val="24"/>
        </w:rPr>
        <w:t xml:space="preserve">, D.L., Chavez-Rosales, S., Josephson, E., </w:t>
      </w:r>
      <w:proofErr w:type="spellStart"/>
      <w:r w:rsidRPr="00A4325E">
        <w:rPr>
          <w:rFonts w:ascii="Times New Roman" w:hAnsi="Times New Roman" w:cs="Times New Roman"/>
          <w:sz w:val="24"/>
          <w:szCs w:val="24"/>
        </w:rPr>
        <w:t>Cholewiak</w:t>
      </w:r>
      <w:proofErr w:type="spellEnd"/>
      <w:r w:rsidRPr="00A4325E">
        <w:rPr>
          <w:rFonts w:ascii="Times New Roman" w:hAnsi="Times New Roman" w:cs="Times New Roman"/>
          <w:sz w:val="24"/>
          <w:szCs w:val="24"/>
        </w:rPr>
        <w:t xml:space="preserve">, D., Haas, H.L., Garrison, L., Jones, M., Sigourney, D., Waring, G.(retired), </w:t>
      </w:r>
      <w:proofErr w:type="spellStart"/>
      <w:r w:rsidRPr="00A4325E">
        <w:rPr>
          <w:rFonts w:ascii="Times New Roman" w:hAnsi="Times New Roman" w:cs="Times New Roman"/>
          <w:sz w:val="24"/>
          <w:szCs w:val="24"/>
        </w:rPr>
        <w:t>Jech</w:t>
      </w:r>
      <w:proofErr w:type="spellEnd"/>
      <w:r w:rsidRPr="00A4325E">
        <w:rPr>
          <w:rFonts w:ascii="Times New Roman" w:hAnsi="Times New Roman" w:cs="Times New Roman"/>
          <w:sz w:val="24"/>
          <w:szCs w:val="24"/>
        </w:rPr>
        <w:t xml:space="preserve">, M., Broughton, E., </w:t>
      </w:r>
      <w:proofErr w:type="spellStart"/>
      <w:r w:rsidRPr="00A4325E">
        <w:rPr>
          <w:rFonts w:ascii="Times New Roman" w:hAnsi="Times New Roman" w:cs="Times New Roman"/>
          <w:sz w:val="24"/>
          <w:szCs w:val="24"/>
        </w:rPr>
        <w:t>Soldevilla</w:t>
      </w:r>
      <w:proofErr w:type="spellEnd"/>
      <w:r w:rsidRPr="00A4325E">
        <w:rPr>
          <w:rFonts w:ascii="Times New Roman" w:hAnsi="Times New Roman" w:cs="Times New Roman"/>
          <w:sz w:val="24"/>
          <w:szCs w:val="24"/>
        </w:rPr>
        <w:t xml:space="preserve">, M., Davis, G., </w:t>
      </w:r>
      <w:proofErr w:type="spellStart"/>
      <w:r w:rsidRPr="00A4325E">
        <w:rPr>
          <w:rFonts w:ascii="Times New Roman" w:hAnsi="Times New Roman" w:cs="Times New Roman"/>
          <w:sz w:val="24"/>
          <w:szCs w:val="24"/>
        </w:rPr>
        <w:t>DeAngelis</w:t>
      </w:r>
      <w:proofErr w:type="spellEnd"/>
      <w:r w:rsidRPr="00A4325E">
        <w:rPr>
          <w:rFonts w:ascii="Times New Roman" w:hAnsi="Times New Roman" w:cs="Times New Roman"/>
          <w:sz w:val="24"/>
          <w:szCs w:val="24"/>
        </w:rPr>
        <w:t xml:space="preserve">, A., </w:t>
      </w:r>
      <w:proofErr w:type="spellStart"/>
      <w:r w:rsidRPr="00A4325E">
        <w:rPr>
          <w:rFonts w:ascii="Times New Roman" w:hAnsi="Times New Roman" w:cs="Times New Roman"/>
          <w:sz w:val="24"/>
          <w:szCs w:val="24"/>
        </w:rPr>
        <w:t>Sasso</w:t>
      </w:r>
      <w:proofErr w:type="spellEnd"/>
      <w:r w:rsidRPr="00A4325E">
        <w:rPr>
          <w:rFonts w:ascii="Times New Roman" w:hAnsi="Times New Roman" w:cs="Times New Roman"/>
          <w:sz w:val="24"/>
          <w:szCs w:val="24"/>
        </w:rPr>
        <w:t xml:space="preserve">, C.R., Winton, M.V., </w:t>
      </w:r>
      <w:proofErr w:type="spellStart"/>
      <w:r w:rsidRPr="00A4325E">
        <w:rPr>
          <w:rFonts w:ascii="Times New Roman" w:hAnsi="Times New Roman" w:cs="Times New Roman"/>
          <w:sz w:val="24"/>
          <w:szCs w:val="24"/>
        </w:rPr>
        <w:t>Smolowitz</w:t>
      </w:r>
      <w:proofErr w:type="spellEnd"/>
      <w:r w:rsidRPr="00A4325E">
        <w:rPr>
          <w:rFonts w:ascii="Times New Roman" w:hAnsi="Times New Roman" w:cs="Times New Roman"/>
          <w:sz w:val="24"/>
          <w:szCs w:val="24"/>
        </w:rPr>
        <w:t xml:space="preserve">, R.J., Fay, G., </w:t>
      </w:r>
      <w:proofErr w:type="spellStart"/>
      <w:r w:rsidRPr="00A4325E">
        <w:rPr>
          <w:rFonts w:ascii="Times New Roman" w:hAnsi="Times New Roman" w:cs="Times New Roman"/>
          <w:sz w:val="24"/>
          <w:szCs w:val="24"/>
        </w:rPr>
        <w:t>LaBrecque</w:t>
      </w:r>
      <w:proofErr w:type="spellEnd"/>
      <w:r w:rsidRPr="00A4325E">
        <w:rPr>
          <w:rFonts w:ascii="Times New Roman" w:hAnsi="Times New Roman" w:cs="Times New Roman"/>
          <w:sz w:val="24"/>
          <w:szCs w:val="24"/>
        </w:rPr>
        <w:t xml:space="preserve">, E., </w:t>
      </w:r>
      <w:proofErr w:type="spellStart"/>
      <w:r w:rsidRPr="00A4325E">
        <w:rPr>
          <w:rFonts w:ascii="Times New Roman" w:hAnsi="Times New Roman" w:cs="Times New Roman"/>
          <w:sz w:val="24"/>
          <w:szCs w:val="24"/>
        </w:rPr>
        <w:t>Leiness</w:t>
      </w:r>
      <w:proofErr w:type="spellEnd"/>
      <w:r w:rsidRPr="00A4325E">
        <w:rPr>
          <w:rFonts w:ascii="Times New Roman" w:hAnsi="Times New Roman" w:cs="Times New Roman"/>
          <w:sz w:val="24"/>
          <w:szCs w:val="24"/>
        </w:rPr>
        <w:t xml:space="preserve">, J.B., </w:t>
      </w:r>
      <w:proofErr w:type="spellStart"/>
      <w:r w:rsidRPr="00A4325E">
        <w:rPr>
          <w:rFonts w:ascii="Times New Roman" w:hAnsi="Times New Roman" w:cs="Times New Roman"/>
          <w:sz w:val="24"/>
          <w:szCs w:val="24"/>
        </w:rPr>
        <w:t>Dettloff</w:t>
      </w:r>
      <w:proofErr w:type="spellEnd"/>
      <w:r w:rsidRPr="00A4325E">
        <w:rPr>
          <w:rFonts w:ascii="Times New Roman" w:hAnsi="Times New Roman" w:cs="Times New Roman"/>
          <w:sz w:val="24"/>
          <w:szCs w:val="24"/>
        </w:rPr>
        <w:t xml:space="preserve">, Warden, M., Murray, K. &amp; </w:t>
      </w:r>
      <w:proofErr w:type="spellStart"/>
      <w:r w:rsidRPr="00A4325E">
        <w:rPr>
          <w:rFonts w:ascii="Times New Roman" w:hAnsi="Times New Roman" w:cs="Times New Roman"/>
          <w:sz w:val="24"/>
          <w:szCs w:val="24"/>
        </w:rPr>
        <w:t>Orphanides</w:t>
      </w:r>
      <w:proofErr w:type="spellEnd"/>
      <w:r w:rsidRPr="00A4325E">
        <w:rPr>
          <w:rFonts w:ascii="Times New Roman" w:hAnsi="Times New Roman" w:cs="Times New Roman"/>
          <w:sz w:val="24"/>
          <w:szCs w:val="24"/>
        </w:rPr>
        <w:t>, C.  (2017) Atlantic Marine Assessment Program for Protected Species: 2010- 2014. US Dept. of the Interior, Bureau of Ocean Energy Management, Atlantic OCS Region, Washington, DC. OCS Study BOEM 2017-071. 211 pp</w:t>
      </w:r>
    </w:p>
    <w:p w:rsidR="00AA3790" w:rsidRPr="00A4325E" w:rsidRDefault="00AA3790" w:rsidP="00AA3790">
      <w:pPr>
        <w:spacing w:after="0" w:line="480" w:lineRule="auto"/>
        <w:rPr>
          <w:rFonts w:ascii="Times New Roman" w:hAnsi="Times New Roman" w:cs="Times New Roman"/>
          <w:sz w:val="24"/>
          <w:szCs w:val="24"/>
        </w:rPr>
      </w:pPr>
    </w:p>
    <w:p w:rsidR="00A4325E" w:rsidRDefault="00A4325E" w:rsidP="00A4325E">
      <w:pPr>
        <w:spacing w:line="480" w:lineRule="auto"/>
        <w:rPr>
          <w:rFonts w:ascii="Times New Roman" w:hAnsi="Times New Roman" w:cs="Times New Roman"/>
          <w:sz w:val="24"/>
          <w:szCs w:val="24"/>
        </w:rPr>
      </w:pPr>
      <w:proofErr w:type="spellStart"/>
      <w:r w:rsidRPr="007723FA">
        <w:rPr>
          <w:rFonts w:ascii="Times New Roman" w:hAnsi="Times New Roman" w:cs="Times New Roman"/>
          <w:sz w:val="24"/>
          <w:szCs w:val="24"/>
        </w:rPr>
        <w:lastRenderedPageBreak/>
        <w:t>Pardo</w:t>
      </w:r>
      <w:proofErr w:type="spellEnd"/>
      <w:r>
        <w:rPr>
          <w:rFonts w:ascii="Times New Roman" w:hAnsi="Times New Roman" w:cs="Times New Roman"/>
          <w:sz w:val="24"/>
          <w:szCs w:val="24"/>
        </w:rPr>
        <w:t>,</w:t>
      </w:r>
      <w:r w:rsidRPr="007723FA">
        <w:rPr>
          <w:rFonts w:ascii="Times New Roman" w:hAnsi="Times New Roman" w:cs="Times New Roman"/>
          <w:sz w:val="24"/>
          <w:szCs w:val="24"/>
        </w:rPr>
        <w:t xml:space="preserve"> M</w:t>
      </w:r>
      <w:r>
        <w:rPr>
          <w:rFonts w:ascii="Times New Roman" w:hAnsi="Times New Roman" w:cs="Times New Roman"/>
          <w:sz w:val="24"/>
          <w:szCs w:val="24"/>
        </w:rPr>
        <w:t>.</w:t>
      </w:r>
      <w:r w:rsidRPr="007723FA">
        <w:rPr>
          <w:rFonts w:ascii="Times New Roman" w:hAnsi="Times New Roman" w:cs="Times New Roman"/>
          <w:sz w:val="24"/>
          <w:szCs w:val="24"/>
        </w:rPr>
        <w:t>A</w:t>
      </w:r>
      <w:r>
        <w:rPr>
          <w:rFonts w:ascii="Times New Roman" w:hAnsi="Times New Roman" w:cs="Times New Roman"/>
          <w:sz w:val="24"/>
          <w:szCs w:val="24"/>
        </w:rPr>
        <w:t>.</w:t>
      </w:r>
      <w:r w:rsidRPr="007723FA">
        <w:rPr>
          <w:rFonts w:ascii="Times New Roman" w:hAnsi="Times New Roman" w:cs="Times New Roman"/>
          <w:sz w:val="24"/>
          <w:szCs w:val="24"/>
        </w:rPr>
        <w:t xml:space="preserve">, </w:t>
      </w:r>
      <w:proofErr w:type="spellStart"/>
      <w:r w:rsidRPr="007723FA">
        <w:rPr>
          <w:rFonts w:ascii="Times New Roman" w:hAnsi="Times New Roman" w:cs="Times New Roman"/>
          <w:sz w:val="24"/>
          <w:szCs w:val="24"/>
        </w:rPr>
        <w:t>Gerrodette</w:t>
      </w:r>
      <w:proofErr w:type="spellEnd"/>
      <w:r>
        <w:rPr>
          <w:rFonts w:ascii="Times New Roman" w:hAnsi="Times New Roman" w:cs="Times New Roman"/>
          <w:sz w:val="24"/>
          <w:szCs w:val="24"/>
        </w:rPr>
        <w:t>,</w:t>
      </w:r>
      <w:r w:rsidRPr="007723FA">
        <w:rPr>
          <w:rFonts w:ascii="Times New Roman" w:hAnsi="Times New Roman" w:cs="Times New Roman"/>
          <w:sz w:val="24"/>
          <w:szCs w:val="24"/>
        </w:rPr>
        <w:t xml:space="preserve"> T</w:t>
      </w:r>
      <w:r>
        <w:rPr>
          <w:rFonts w:ascii="Times New Roman" w:hAnsi="Times New Roman" w:cs="Times New Roman"/>
          <w:sz w:val="24"/>
          <w:szCs w:val="24"/>
        </w:rPr>
        <w:t>.</w:t>
      </w:r>
      <w:r w:rsidRPr="007723FA">
        <w:rPr>
          <w:rFonts w:ascii="Times New Roman" w:hAnsi="Times New Roman" w:cs="Times New Roman"/>
          <w:sz w:val="24"/>
          <w:szCs w:val="24"/>
        </w:rPr>
        <w:t xml:space="preserve">, </w:t>
      </w:r>
      <w:proofErr w:type="spellStart"/>
      <w:r w:rsidRPr="007723FA">
        <w:rPr>
          <w:rFonts w:ascii="Times New Roman" w:hAnsi="Times New Roman" w:cs="Times New Roman"/>
          <w:sz w:val="24"/>
          <w:szCs w:val="24"/>
        </w:rPr>
        <w:t>Beier</w:t>
      </w:r>
      <w:proofErr w:type="spellEnd"/>
      <w:r>
        <w:rPr>
          <w:rFonts w:ascii="Times New Roman" w:hAnsi="Times New Roman" w:cs="Times New Roman"/>
          <w:sz w:val="24"/>
          <w:szCs w:val="24"/>
        </w:rPr>
        <w:t>,</w:t>
      </w:r>
      <w:r w:rsidRPr="007723FA">
        <w:rPr>
          <w:rFonts w:ascii="Times New Roman" w:hAnsi="Times New Roman" w:cs="Times New Roman"/>
          <w:sz w:val="24"/>
          <w:szCs w:val="24"/>
        </w:rPr>
        <w:t xml:space="preserve"> E</w:t>
      </w:r>
      <w:r>
        <w:rPr>
          <w:rFonts w:ascii="Times New Roman" w:hAnsi="Times New Roman" w:cs="Times New Roman"/>
          <w:sz w:val="24"/>
          <w:szCs w:val="24"/>
        </w:rPr>
        <w:t>.</w:t>
      </w:r>
      <w:r w:rsidRPr="007723FA">
        <w:rPr>
          <w:rFonts w:ascii="Times New Roman" w:hAnsi="Times New Roman" w:cs="Times New Roman"/>
          <w:sz w:val="24"/>
          <w:szCs w:val="24"/>
        </w:rPr>
        <w:t xml:space="preserve">, </w:t>
      </w:r>
      <w:proofErr w:type="spellStart"/>
      <w:r w:rsidRPr="007723FA">
        <w:rPr>
          <w:rFonts w:ascii="Times New Roman" w:hAnsi="Times New Roman" w:cs="Times New Roman"/>
          <w:sz w:val="24"/>
          <w:szCs w:val="24"/>
        </w:rPr>
        <w:t>Gendron</w:t>
      </w:r>
      <w:proofErr w:type="spellEnd"/>
      <w:r>
        <w:rPr>
          <w:rFonts w:ascii="Times New Roman" w:hAnsi="Times New Roman" w:cs="Times New Roman"/>
          <w:sz w:val="24"/>
          <w:szCs w:val="24"/>
        </w:rPr>
        <w:t>,</w:t>
      </w:r>
      <w:r w:rsidRPr="007723FA">
        <w:rPr>
          <w:rFonts w:ascii="Times New Roman" w:hAnsi="Times New Roman" w:cs="Times New Roman"/>
          <w:sz w:val="24"/>
          <w:szCs w:val="24"/>
        </w:rPr>
        <w:t xml:space="preserve"> D</w:t>
      </w:r>
      <w:r>
        <w:rPr>
          <w:rFonts w:ascii="Times New Roman" w:hAnsi="Times New Roman" w:cs="Times New Roman"/>
          <w:sz w:val="24"/>
          <w:szCs w:val="24"/>
        </w:rPr>
        <w:t>.</w:t>
      </w:r>
      <w:r w:rsidRPr="007723FA">
        <w:rPr>
          <w:rFonts w:ascii="Times New Roman" w:hAnsi="Times New Roman" w:cs="Times New Roman"/>
          <w:sz w:val="24"/>
          <w:szCs w:val="24"/>
        </w:rPr>
        <w:t>, Forney</w:t>
      </w:r>
      <w:r>
        <w:rPr>
          <w:rFonts w:ascii="Times New Roman" w:hAnsi="Times New Roman" w:cs="Times New Roman"/>
          <w:sz w:val="24"/>
          <w:szCs w:val="24"/>
        </w:rPr>
        <w:t>,</w:t>
      </w:r>
      <w:r w:rsidRPr="007723FA">
        <w:rPr>
          <w:rFonts w:ascii="Times New Roman" w:hAnsi="Times New Roman" w:cs="Times New Roman"/>
          <w:sz w:val="24"/>
          <w:szCs w:val="24"/>
        </w:rPr>
        <w:t xml:space="preserve"> K</w:t>
      </w:r>
      <w:r>
        <w:rPr>
          <w:rFonts w:ascii="Times New Roman" w:hAnsi="Times New Roman" w:cs="Times New Roman"/>
          <w:sz w:val="24"/>
          <w:szCs w:val="24"/>
        </w:rPr>
        <w:t>.</w:t>
      </w:r>
      <w:r w:rsidRPr="007723FA">
        <w:rPr>
          <w:rFonts w:ascii="Times New Roman" w:hAnsi="Times New Roman" w:cs="Times New Roman"/>
          <w:sz w:val="24"/>
          <w:szCs w:val="24"/>
        </w:rPr>
        <w:t>A</w:t>
      </w:r>
      <w:r>
        <w:rPr>
          <w:rFonts w:ascii="Times New Roman" w:hAnsi="Times New Roman" w:cs="Times New Roman"/>
          <w:sz w:val="24"/>
          <w:szCs w:val="24"/>
        </w:rPr>
        <w:t>.</w:t>
      </w:r>
      <w:r w:rsidRPr="007723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Chivers</w:t>
      </w:r>
      <w:proofErr w:type="spellEnd"/>
      <w:r>
        <w:rPr>
          <w:rFonts w:ascii="Times New Roman" w:hAnsi="Times New Roman" w:cs="Times New Roman"/>
          <w:sz w:val="24"/>
          <w:szCs w:val="24"/>
        </w:rPr>
        <w:t>, S., Barlow, J., Palacios, D.M.  2015</w:t>
      </w:r>
      <w:r w:rsidRPr="007723FA">
        <w:rPr>
          <w:rFonts w:ascii="Times New Roman" w:hAnsi="Times New Roman" w:cs="Times New Roman"/>
          <w:sz w:val="24"/>
          <w:szCs w:val="24"/>
        </w:rPr>
        <w:t xml:space="preserve"> Inferring cetacean population densities from absolute dynamic topography of the ocean in a hierarchical Ba</w:t>
      </w:r>
      <w:r>
        <w:rPr>
          <w:rFonts w:ascii="Times New Roman" w:hAnsi="Times New Roman" w:cs="Times New Roman"/>
          <w:sz w:val="24"/>
          <w:szCs w:val="24"/>
        </w:rPr>
        <w:t xml:space="preserve">yesian framework. </w:t>
      </w:r>
      <w:proofErr w:type="spellStart"/>
      <w:r w:rsidRPr="005B565B">
        <w:rPr>
          <w:rFonts w:ascii="Times New Roman" w:hAnsi="Times New Roman" w:cs="Times New Roman"/>
          <w:i/>
          <w:sz w:val="24"/>
          <w:szCs w:val="24"/>
        </w:rPr>
        <w:t>PLoS</w:t>
      </w:r>
      <w:proofErr w:type="spellEnd"/>
      <w:r w:rsidRPr="005B565B">
        <w:rPr>
          <w:rFonts w:ascii="Times New Roman" w:hAnsi="Times New Roman" w:cs="Times New Roman"/>
          <w:i/>
          <w:sz w:val="24"/>
          <w:szCs w:val="24"/>
        </w:rPr>
        <w:t xml:space="preserve"> ONE</w:t>
      </w:r>
      <w:r>
        <w:rPr>
          <w:rFonts w:ascii="Times New Roman" w:hAnsi="Times New Roman" w:cs="Times New Roman"/>
          <w:sz w:val="24"/>
          <w:szCs w:val="24"/>
        </w:rPr>
        <w:t xml:space="preserve">, </w:t>
      </w:r>
      <w:r w:rsidRPr="00A45F7E">
        <w:rPr>
          <w:rFonts w:ascii="Times New Roman" w:hAnsi="Times New Roman" w:cs="Times New Roman"/>
          <w:b/>
          <w:sz w:val="24"/>
          <w:szCs w:val="24"/>
        </w:rPr>
        <w:t>10</w:t>
      </w:r>
      <w:proofErr w:type="gramStart"/>
      <w:r>
        <w:rPr>
          <w:rFonts w:ascii="Times New Roman" w:hAnsi="Times New Roman" w:cs="Times New Roman"/>
          <w:sz w:val="24"/>
          <w:szCs w:val="24"/>
        </w:rPr>
        <w:t>,</w:t>
      </w:r>
      <w:r w:rsidRPr="007723FA">
        <w:rPr>
          <w:rFonts w:ascii="Times New Roman" w:hAnsi="Times New Roman" w:cs="Times New Roman"/>
          <w:sz w:val="24"/>
          <w:szCs w:val="24"/>
        </w:rPr>
        <w:t>UNSP</w:t>
      </w:r>
      <w:proofErr w:type="gramEnd"/>
      <w:r w:rsidRPr="007723FA">
        <w:rPr>
          <w:rFonts w:ascii="Times New Roman" w:hAnsi="Times New Roman" w:cs="Times New Roman"/>
          <w:sz w:val="24"/>
          <w:szCs w:val="24"/>
        </w:rPr>
        <w:t xml:space="preserve"> e0120727.</w:t>
      </w:r>
    </w:p>
    <w:p w:rsidR="00A4325E" w:rsidRPr="00E078FC" w:rsidRDefault="00A4325E" w:rsidP="00212A45">
      <w:pPr>
        <w:spacing w:line="480" w:lineRule="auto"/>
        <w:rPr>
          <w:rFonts w:ascii="Times New Roman" w:hAnsi="Times New Roman" w:cs="Times New Roman"/>
          <w:sz w:val="24"/>
          <w:szCs w:val="24"/>
        </w:rPr>
      </w:pPr>
    </w:p>
    <w:sectPr w:rsidR="00A4325E" w:rsidRPr="00E078FC" w:rsidSect="004B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1C"/>
    <w:rsid w:val="00005B61"/>
    <w:rsid w:val="000142D5"/>
    <w:rsid w:val="00131535"/>
    <w:rsid w:val="001B7847"/>
    <w:rsid w:val="00205AC1"/>
    <w:rsid w:val="00212A45"/>
    <w:rsid w:val="0031003E"/>
    <w:rsid w:val="00372539"/>
    <w:rsid w:val="00462086"/>
    <w:rsid w:val="004B117D"/>
    <w:rsid w:val="004B11B3"/>
    <w:rsid w:val="0050046D"/>
    <w:rsid w:val="00504061"/>
    <w:rsid w:val="00551230"/>
    <w:rsid w:val="005D0701"/>
    <w:rsid w:val="00632E19"/>
    <w:rsid w:val="0067069E"/>
    <w:rsid w:val="006F2F90"/>
    <w:rsid w:val="00763C91"/>
    <w:rsid w:val="0079501C"/>
    <w:rsid w:val="007D2246"/>
    <w:rsid w:val="00904CC3"/>
    <w:rsid w:val="00942B3B"/>
    <w:rsid w:val="009D3DB0"/>
    <w:rsid w:val="00A4325E"/>
    <w:rsid w:val="00A8480E"/>
    <w:rsid w:val="00AA3790"/>
    <w:rsid w:val="00AC670D"/>
    <w:rsid w:val="00AF0373"/>
    <w:rsid w:val="00BC2228"/>
    <w:rsid w:val="00C4410B"/>
    <w:rsid w:val="00D029BD"/>
    <w:rsid w:val="00DC77CD"/>
    <w:rsid w:val="00DD2899"/>
    <w:rsid w:val="00E078FC"/>
    <w:rsid w:val="00E72624"/>
    <w:rsid w:val="00E82D85"/>
    <w:rsid w:val="00EA028A"/>
    <w:rsid w:val="00F52268"/>
    <w:rsid w:val="00F92A66"/>
    <w:rsid w:val="00FD0D55"/>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0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C1"/>
    <w:rPr>
      <w:rFonts w:ascii="Tahoma" w:hAnsi="Tahoma" w:cs="Tahoma"/>
      <w:sz w:val="16"/>
      <w:szCs w:val="16"/>
    </w:rPr>
  </w:style>
  <w:style w:type="character" w:styleId="PlaceholderText">
    <w:name w:val="Placeholder Text"/>
    <w:basedOn w:val="DefaultParagraphFont"/>
    <w:uiPriority w:val="99"/>
    <w:semiHidden/>
    <w:rsid w:val="00205AC1"/>
    <w:rPr>
      <w:color w:val="808080"/>
    </w:rPr>
  </w:style>
  <w:style w:type="character" w:styleId="Hyperlink">
    <w:name w:val="Hyperlink"/>
    <w:basedOn w:val="DefaultParagraphFont"/>
    <w:uiPriority w:val="99"/>
    <w:unhideWhenUsed/>
    <w:rsid w:val="00A43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0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C1"/>
    <w:rPr>
      <w:rFonts w:ascii="Tahoma" w:hAnsi="Tahoma" w:cs="Tahoma"/>
      <w:sz w:val="16"/>
      <w:szCs w:val="16"/>
    </w:rPr>
  </w:style>
  <w:style w:type="character" w:styleId="PlaceholderText">
    <w:name w:val="Placeholder Text"/>
    <w:basedOn w:val="DefaultParagraphFont"/>
    <w:uiPriority w:val="99"/>
    <w:semiHidden/>
    <w:rsid w:val="00205AC1"/>
    <w:rPr>
      <w:color w:val="808080"/>
    </w:rPr>
  </w:style>
  <w:style w:type="character" w:styleId="Hyperlink">
    <w:name w:val="Hyperlink"/>
    <w:basedOn w:val="DefaultParagraphFont"/>
    <w:uiPriority w:val="99"/>
    <w:unhideWhenUsed/>
    <w:rsid w:val="00A43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douglas.sigourney</dc:creator>
  <cp:lastModifiedBy>Andre</cp:lastModifiedBy>
  <cp:revision>2</cp:revision>
  <dcterms:created xsi:type="dcterms:W3CDTF">2019-11-07T11:45:00Z</dcterms:created>
  <dcterms:modified xsi:type="dcterms:W3CDTF">2019-11-07T11:45:00Z</dcterms:modified>
</cp:coreProperties>
</file>