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58" w:rsidRPr="00316507" w:rsidRDefault="003A6458" w:rsidP="003A64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650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316507">
        <w:rPr>
          <w:rFonts w:ascii="Times New Roman" w:hAnsi="Times New Roman" w:cs="Times New Roman"/>
          <w:b/>
          <w:sz w:val="24"/>
          <w:szCs w:val="24"/>
        </w:rPr>
        <w:t>.</w:t>
      </w:r>
      <w:r w:rsidRPr="00316507">
        <w:rPr>
          <w:rFonts w:ascii="Times New Roman" w:hAnsi="Times New Roman" w:cs="Times New Roman"/>
          <w:sz w:val="24"/>
          <w:szCs w:val="24"/>
        </w:rPr>
        <w:t xml:space="preserve"> Description of environmental covariates </w:t>
      </w:r>
      <w:r>
        <w:rPr>
          <w:rFonts w:ascii="Times New Roman" w:hAnsi="Times New Roman" w:cs="Times New Roman"/>
          <w:sz w:val="24"/>
          <w:szCs w:val="24"/>
        </w:rPr>
        <w:t xml:space="preserve">summarized for all grid cells within the </w:t>
      </w:r>
      <w:r w:rsidRPr="004E7FF0">
        <w:rPr>
          <w:rFonts w:ascii="Times New Roman" w:hAnsi="Times New Roman" w:cs="Times New Roman"/>
          <w:sz w:val="24"/>
          <w:szCs w:val="24"/>
        </w:rPr>
        <w:t xml:space="preserve">Atlantic Marine Assessment Program for Protected Species (AMAPPS) </w:t>
      </w:r>
      <w:r>
        <w:rPr>
          <w:rFonts w:ascii="Times New Roman" w:hAnsi="Times New Roman" w:cs="Times New Roman"/>
          <w:sz w:val="24"/>
          <w:szCs w:val="24"/>
        </w:rPr>
        <w:t>study area</w:t>
      </w:r>
      <w:r w:rsidRPr="00316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Only </w:t>
      </w:r>
      <w:r w:rsidR="00265E81">
        <w:rPr>
          <w:rFonts w:ascii="Times New Roman" w:hAnsi="Times New Roman" w:cs="Times New Roman"/>
          <w:sz w:val="24"/>
          <w:szCs w:val="24"/>
        </w:rPr>
        <w:t xml:space="preserve">distance to the 125 meter isobaths (DIST125), depth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65E81">
        <w:rPr>
          <w:rFonts w:ascii="Times New Roman" w:hAnsi="Times New Roman" w:cs="Times New Roman"/>
          <w:sz w:val="24"/>
          <w:szCs w:val="24"/>
        </w:rPr>
        <w:t>DEPTH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265E81">
        <w:rPr>
          <w:rFonts w:ascii="Times New Roman" w:hAnsi="Times New Roman" w:cs="Times New Roman"/>
          <w:sz w:val="24"/>
          <w:szCs w:val="24"/>
        </w:rPr>
        <w:t xml:space="preserve">distance to the coastline (DIST2SHORE) and sea surface temperature (SST)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084B1E">
        <w:rPr>
          <w:rFonts w:ascii="Times New Roman" w:hAnsi="Times New Roman" w:cs="Times New Roman"/>
          <w:sz w:val="24"/>
          <w:szCs w:val="24"/>
        </w:rPr>
        <w:t>included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the final model to predict densities of fin whales (</w:t>
      </w:r>
      <w:proofErr w:type="spellStart"/>
      <w:r w:rsidRPr="00D953EC">
        <w:rPr>
          <w:rFonts w:ascii="Times New Roman" w:hAnsi="Times New Roman" w:cs="Times New Roman"/>
          <w:i/>
          <w:sz w:val="24"/>
          <w:szCs w:val="24"/>
        </w:rPr>
        <w:t>Balaenoptera</w:t>
      </w:r>
      <w:proofErr w:type="spellEnd"/>
      <w:r w:rsidRPr="00D953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53EC">
        <w:rPr>
          <w:rFonts w:ascii="Times New Roman" w:hAnsi="Times New Roman" w:cs="Times New Roman"/>
          <w:i/>
          <w:sz w:val="24"/>
          <w:szCs w:val="24"/>
        </w:rPr>
        <w:t>physalus</w:t>
      </w:r>
      <w:proofErr w:type="spellEnd"/>
      <w:r>
        <w:rPr>
          <w:rFonts w:ascii="Times New Roman" w:hAnsi="Times New Roman" w:cs="Times New Roman"/>
          <w:sz w:val="24"/>
          <w:szCs w:val="24"/>
        </w:rPr>
        <w:t>) within the AMAPPS study area.</w:t>
      </w:r>
    </w:p>
    <w:p w:rsidR="003A6458" w:rsidRDefault="003A6458" w:rsidP="003A6458">
      <w:pPr>
        <w:spacing w:after="0" w:line="480" w:lineRule="auto"/>
      </w:pPr>
    </w:p>
    <w:tbl>
      <w:tblPr>
        <w:tblStyle w:val="TableGrid1"/>
        <w:tblW w:w="9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1328"/>
        <w:gridCol w:w="2730"/>
        <w:gridCol w:w="3919"/>
      </w:tblGrid>
      <w:tr w:rsidR="00265E81" w:rsidRPr="00074C21" w:rsidTr="00265E81">
        <w:trPr>
          <w:jc w:val="center"/>
        </w:trPr>
        <w:tc>
          <w:tcPr>
            <w:tcW w:w="1785" w:type="dxa"/>
          </w:tcPr>
          <w:p w:rsidR="00265E81" w:rsidRPr="00074C21" w:rsidRDefault="00265E81" w:rsidP="007B4A3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328" w:type="dxa"/>
          </w:tcPr>
          <w:p w:rsidR="00265E81" w:rsidRPr="00074C21" w:rsidRDefault="00265E81" w:rsidP="007B4A3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2730" w:type="dxa"/>
          </w:tcPr>
          <w:p w:rsidR="00265E81" w:rsidRPr="00074C21" w:rsidRDefault="00265E81" w:rsidP="007B4A38">
            <w:pPr>
              <w:spacing w:line="480" w:lineRule="auto"/>
              <w:jc w:val="center"/>
              <w:rPr>
                <w:b/>
              </w:rPr>
            </w:pPr>
            <w:r w:rsidRPr="00074C21">
              <w:rPr>
                <w:b/>
              </w:rPr>
              <w:t>Description</w:t>
            </w:r>
          </w:p>
        </w:tc>
        <w:tc>
          <w:tcPr>
            <w:tcW w:w="3919" w:type="dxa"/>
          </w:tcPr>
          <w:p w:rsidR="00265E81" w:rsidRPr="00074C21" w:rsidRDefault="00265E81" w:rsidP="007B4A38">
            <w:pPr>
              <w:spacing w:line="480" w:lineRule="auto"/>
              <w:jc w:val="center"/>
              <w:rPr>
                <w:b/>
              </w:rPr>
            </w:pPr>
            <w:r w:rsidRPr="00074C21">
              <w:rPr>
                <w:b/>
              </w:rPr>
              <w:t>Source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DEPTH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t xml:space="preserve">3 </w:t>
            </w:r>
            <w:proofErr w:type="spellStart"/>
            <w:r>
              <w:t>arcsec</w:t>
            </w:r>
            <w:proofErr w:type="spellEnd"/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Bathymetry (m)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D2S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0.04º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Distance to coastline (m)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t>Ocean Color Web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SLOPE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t xml:space="preserve">3 </w:t>
            </w:r>
            <w:proofErr w:type="spellStart"/>
            <w:r>
              <w:t>arcsec</w:t>
            </w:r>
            <w:proofErr w:type="spellEnd"/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Seafloor slope (</w:t>
            </w:r>
            <w:r>
              <w:rPr>
                <w:sz w:val="22"/>
                <w:szCs w:val="22"/>
              </w:rPr>
              <w:t>º</w:t>
            </w:r>
            <w:r w:rsidRPr="00074C21">
              <w:rPr>
                <w:sz w:val="22"/>
                <w:szCs w:val="22"/>
              </w:rPr>
              <w:t>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D200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 xml:space="preserve">Distance to 200 m </w:t>
            </w:r>
            <w:proofErr w:type="spellStart"/>
            <w:r w:rsidRPr="00074C21"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D125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Distance to 125 m </w:t>
            </w:r>
            <w:proofErr w:type="spellStart"/>
            <w:r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>D1000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 w:rsidRPr="00074C21">
              <w:rPr>
                <w:sz w:val="22"/>
                <w:szCs w:val="22"/>
              </w:rPr>
              <w:t xml:space="preserve">Distance to 1000 m </w:t>
            </w:r>
            <w:proofErr w:type="spellStart"/>
            <w:r w:rsidRPr="00074C21">
              <w:rPr>
                <w:sz w:val="22"/>
                <w:szCs w:val="22"/>
              </w:rPr>
              <w:t>isobath</w:t>
            </w:r>
            <w:proofErr w:type="spellEnd"/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</w:pPr>
            <w:r>
              <w:t>DIST2SHORE</w:t>
            </w:r>
          </w:p>
        </w:tc>
        <w:tc>
          <w:tcPr>
            <w:tcW w:w="1328" w:type="dxa"/>
            <w:vAlign w:val="center"/>
          </w:tcPr>
          <w:p w:rsidR="00265E81" w:rsidRDefault="00265E81" w:rsidP="007B4A38">
            <w:pPr>
              <w:spacing w:line="480" w:lineRule="auto"/>
            </w:pPr>
            <w:r>
              <w:rPr>
                <w:sz w:val="22"/>
                <w:szCs w:val="22"/>
              </w:rPr>
              <w:t>1’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</w:pPr>
            <w:r>
              <w:t>Distance to the coastline (m)</w:t>
            </w:r>
          </w:p>
        </w:tc>
        <w:tc>
          <w:tcPr>
            <w:tcW w:w="3919" w:type="dxa"/>
            <w:vAlign w:val="center"/>
          </w:tcPr>
          <w:p w:rsidR="00265E81" w:rsidRDefault="00265E81" w:rsidP="007B4A38">
            <w:pPr>
              <w:spacing w:line="480" w:lineRule="auto"/>
            </w:pPr>
            <w:r>
              <w:rPr>
                <w:sz w:val="22"/>
                <w:szCs w:val="22"/>
              </w:rPr>
              <w:t>ETOPO1 (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C61B47">
              <w:t>mante</w:t>
            </w:r>
            <w:proofErr w:type="spellEnd"/>
            <w:r>
              <w:t xml:space="preserve"> </w:t>
            </w:r>
            <w:r w:rsidRPr="00C61B47">
              <w:t>and Eakins, 2009</w:t>
            </w:r>
            <w:r>
              <w:t>)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SST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E81882">
              <w:rPr>
                <w:sz w:val="22"/>
              </w:rPr>
              <w:t>0.05</w:t>
            </w:r>
            <w:r>
              <w:rPr>
                <w:sz w:val="22"/>
              </w:rPr>
              <w:t>º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Sea surface temperature (°C)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t>SST, GOES Imager, Day and Night, Western Hemisphere (8 Day Composite) NOAA NMFS SWFSC ERD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LAT</w:t>
            </w:r>
          </w:p>
        </w:tc>
        <w:tc>
          <w:tcPr>
            <w:tcW w:w="1328" w:type="dxa"/>
            <w:vAlign w:val="center"/>
          </w:tcPr>
          <w:p w:rsidR="00265E81" w:rsidRPr="00E81882" w:rsidRDefault="00265E81" w:rsidP="007B4A38">
            <w:pPr>
              <w:spacing w:line="480" w:lineRule="auto"/>
              <w:rPr>
                <w:sz w:val="22"/>
              </w:rPr>
            </w:pPr>
          </w:p>
        </w:tc>
        <w:tc>
          <w:tcPr>
            <w:tcW w:w="2730" w:type="dxa"/>
            <w:vAlign w:val="center"/>
          </w:tcPr>
          <w:p w:rsidR="00265E81" w:rsidRPr="002140D2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Latitude </w:t>
            </w:r>
            <w:r w:rsidRPr="00074C2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º</w:t>
            </w:r>
            <w:r w:rsidRPr="00074C21">
              <w:rPr>
                <w:sz w:val="22"/>
                <w:szCs w:val="22"/>
              </w:rPr>
              <w:t>)</w:t>
            </w:r>
          </w:p>
        </w:tc>
        <w:tc>
          <w:tcPr>
            <w:tcW w:w="3919" w:type="dxa"/>
            <w:vAlign w:val="center"/>
          </w:tcPr>
          <w:p w:rsidR="00265E81" w:rsidRDefault="00265E81" w:rsidP="007B4A38">
            <w:pPr>
              <w:spacing w:line="480" w:lineRule="auto"/>
              <w:rPr>
                <w:sz w:val="22"/>
              </w:rPr>
            </w:pP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CHL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E81882">
              <w:rPr>
                <w:sz w:val="22"/>
              </w:rPr>
              <w:t>0.0125</w:t>
            </w:r>
            <w:r>
              <w:rPr>
                <w:sz w:val="22"/>
              </w:rPr>
              <w:t>º</w:t>
            </w:r>
            <w:r w:rsidRPr="00E81882">
              <w:rPr>
                <w:sz w:val="22"/>
              </w:rPr>
              <w:t xml:space="preserve"> /0.04166</w:t>
            </w:r>
            <w:r>
              <w:rPr>
                <w:sz w:val="22"/>
              </w:rPr>
              <w:t>º</w:t>
            </w:r>
            <w:r w:rsidRPr="00E81882">
              <w:rPr>
                <w:sz w:val="22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265E81" w:rsidRPr="002140D2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 xml:space="preserve">Chlorophyll a </w:t>
            </w:r>
          </w:p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(mg m-3)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PP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0.1º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Primary productivity (</w:t>
            </w:r>
            <w:proofErr w:type="spellStart"/>
            <w:r w:rsidRPr="002140D2">
              <w:rPr>
                <w:sz w:val="22"/>
              </w:rPr>
              <w:t>mgC</w:t>
            </w:r>
            <w:proofErr w:type="spellEnd"/>
            <w:r w:rsidRPr="002140D2">
              <w:rPr>
                <w:sz w:val="22"/>
              </w:rPr>
              <w:t xml:space="preserve"> m−2 yr−1)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PIC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4 km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Particulate inorganic carbon (mol m-3)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POC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4 km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Particulate organic carbon (mg m-3)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ERDDAP</w:t>
            </w:r>
          </w:p>
        </w:tc>
      </w:tr>
      <w:tr w:rsidR="00265E81" w:rsidRPr="00074C21" w:rsidTr="00265E81">
        <w:trPr>
          <w:jc w:val="center"/>
        </w:trPr>
        <w:tc>
          <w:tcPr>
            <w:tcW w:w="1785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BTEMP</w:t>
            </w:r>
          </w:p>
        </w:tc>
        <w:tc>
          <w:tcPr>
            <w:tcW w:w="1328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1/12º</w:t>
            </w:r>
          </w:p>
        </w:tc>
        <w:tc>
          <w:tcPr>
            <w:tcW w:w="2730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 w:rsidRPr="002140D2">
              <w:rPr>
                <w:sz w:val="22"/>
              </w:rPr>
              <w:t>Bottom temperature (°C)</w:t>
            </w:r>
          </w:p>
        </w:tc>
        <w:tc>
          <w:tcPr>
            <w:tcW w:w="3919" w:type="dxa"/>
            <w:vAlign w:val="center"/>
          </w:tcPr>
          <w:p w:rsidR="00265E81" w:rsidRPr="00074C21" w:rsidRDefault="00265E81" w:rsidP="007B4A38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>HYCOM (</w:t>
            </w:r>
            <w:proofErr w:type="spellStart"/>
            <w:r>
              <w:t>Chassignet</w:t>
            </w:r>
            <w:proofErr w:type="spellEnd"/>
            <w:r>
              <w:t xml:space="preserve">, </w:t>
            </w:r>
            <w:r w:rsidRPr="00C217FD">
              <w:rPr>
                <w:i/>
              </w:rPr>
              <w:t>et al.,</w:t>
            </w:r>
            <w:r>
              <w:t xml:space="preserve"> 2007)</w:t>
            </w:r>
          </w:p>
        </w:tc>
      </w:tr>
    </w:tbl>
    <w:p w:rsidR="00C55EE4" w:rsidRDefault="00C55EE4"/>
    <w:sectPr w:rsidR="00C55EE4" w:rsidSect="00C5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8"/>
    <w:rsid w:val="00084B1E"/>
    <w:rsid w:val="00265E81"/>
    <w:rsid w:val="003A6458"/>
    <w:rsid w:val="00C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EF5E"/>
  <w15:docId w15:val="{4C8DD6FC-C3BC-4258-B9A5-0BFE020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A64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douglas.sigourney</dc:creator>
  <cp:lastModifiedBy>Douglas.Sigourney</cp:lastModifiedBy>
  <cp:revision>3</cp:revision>
  <dcterms:created xsi:type="dcterms:W3CDTF">2019-08-29T17:45:00Z</dcterms:created>
  <dcterms:modified xsi:type="dcterms:W3CDTF">2019-08-30T18:46:00Z</dcterms:modified>
</cp:coreProperties>
</file>