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4B" w:rsidRDefault="00972B4B" w:rsidP="00972B4B">
      <w:pPr>
        <w:pStyle w:val="Standard"/>
        <w:rPr>
          <w:shd w:val="clear" w:color="auto" w:fill="FFFFFF"/>
        </w:rPr>
      </w:pPr>
      <w:bookmarkStart w:id="0" w:name="_GoBack"/>
      <w:bookmarkEnd w:id="0"/>
      <w:proofErr w:type="gramStart"/>
      <w:r w:rsidRPr="00B60489">
        <w:rPr>
          <w:b/>
          <w:bCs/>
          <w:i/>
          <w:lang w:eastAsia="en-GB"/>
        </w:rPr>
        <w:t xml:space="preserve">Analysis of local conformations of </w:t>
      </w:r>
      <w:r w:rsidRPr="00B60489">
        <w:rPr>
          <w:b/>
          <w:i/>
        </w:rPr>
        <w:t>CDR2 of V</w:t>
      </w:r>
      <w:r w:rsidRPr="00B60489">
        <w:rPr>
          <w:b/>
          <w:i/>
          <w:vertAlign w:val="subscript"/>
        </w:rPr>
        <w:t>H</w:t>
      </w:r>
      <w:r w:rsidRPr="00B60489">
        <w:rPr>
          <w:b/>
          <w:i/>
        </w:rPr>
        <w:t>H</w:t>
      </w:r>
      <w:r w:rsidRPr="00B60489">
        <w:rPr>
          <w:i/>
        </w:rPr>
        <w:t>.</w:t>
      </w:r>
      <w:proofErr w:type="gramEnd"/>
      <w:r w:rsidRPr="00B60489">
        <w:t xml:space="preserve"> The CDR2 region is defined from residue positions 56 to 68. In the 29 clusters of CDR-H2, 16 clusters have V</w:t>
      </w:r>
      <w:r w:rsidRPr="00B60489">
        <w:rPr>
          <w:vertAlign w:val="subscript"/>
        </w:rPr>
        <w:t>H</w:t>
      </w:r>
      <w:r w:rsidRPr="00B60489">
        <w:t xml:space="preserve">H structures, of these 13 are sparsely populated (&lt; 10 structures). The remaining three clusters were analysed as described for previously. Figure 4H shows </w:t>
      </w:r>
      <w:r w:rsidRPr="00B60489">
        <w:rPr>
          <w:i/>
        </w:rPr>
        <w:t>N</w:t>
      </w:r>
      <w:r w:rsidRPr="00B60489">
        <w:rPr>
          <w:i/>
          <w:vertAlign w:val="subscript"/>
        </w:rPr>
        <w:t>eq</w:t>
      </w:r>
      <w:r w:rsidRPr="00B60489">
        <w:t xml:space="preserve"> profiles and emphasize conformational diversity compared to CDR1. The first cluster, H2-9-1 (see Figure 4D) is highly directed with near no variation of PBs for its 28 structures and the PB series </w:t>
      </w:r>
      <w:proofErr w:type="spellStart"/>
      <w:r w:rsidRPr="00B60489">
        <w:rPr>
          <w:i/>
          <w:shd w:val="clear" w:color="auto" w:fill="FFFFFF"/>
        </w:rPr>
        <w:t>dfbdcdfkopacddfklg</w:t>
      </w:r>
      <w:proofErr w:type="spellEnd"/>
      <w:r w:rsidRPr="00B60489">
        <w:rPr>
          <w:shd w:val="clear" w:color="auto" w:fill="FFFFFF"/>
        </w:rPr>
        <w:t xml:space="preserve">. </w:t>
      </w:r>
      <w:r w:rsidRPr="00B60489">
        <w:rPr>
          <w:i/>
        </w:rPr>
        <w:t>N</w:t>
      </w:r>
      <w:r w:rsidRPr="00B60489">
        <w:rPr>
          <w:i/>
          <w:vertAlign w:val="subscript"/>
        </w:rPr>
        <w:t>eq</w:t>
      </w:r>
      <w:r w:rsidRPr="00B60489">
        <w:t xml:space="preserve"> values are higher for the two other analysed clusters at positions 56 to 62 (see Figure 4H). Nonetheless, </w:t>
      </w:r>
      <w:r w:rsidRPr="00B60489">
        <w:rPr>
          <w:shd w:val="clear" w:color="auto" w:fill="FFFFFF"/>
        </w:rPr>
        <w:t xml:space="preserve">cluster H2-10-1 </w:t>
      </w:r>
      <w:r w:rsidRPr="00B60489">
        <w:t xml:space="preserve">(see Figure 4E) </w:t>
      </w:r>
      <w:r w:rsidRPr="00B60489">
        <w:rPr>
          <w:shd w:val="clear" w:color="auto" w:fill="FFFFFF"/>
        </w:rPr>
        <w:t xml:space="preserve">has 14 structures with PB series </w:t>
      </w:r>
      <w:proofErr w:type="spellStart"/>
      <w:r w:rsidRPr="00B60489">
        <w:rPr>
          <w:i/>
          <w:shd w:val="clear" w:color="auto" w:fill="FFFFFF"/>
        </w:rPr>
        <w:t>dfbdcdfk</w:t>
      </w:r>
      <w:r w:rsidRPr="00B60489">
        <w:rPr>
          <w:b/>
          <w:i/>
          <w:u w:val="single"/>
          <w:shd w:val="clear" w:color="auto" w:fill="FFFFFF"/>
        </w:rPr>
        <w:t>l</w:t>
      </w:r>
      <w:r w:rsidRPr="00B60489">
        <w:rPr>
          <w:i/>
          <w:shd w:val="clear" w:color="auto" w:fill="FFFFFF"/>
        </w:rPr>
        <w:t>opacddfkl</w:t>
      </w:r>
      <w:proofErr w:type="spellEnd"/>
      <w:r w:rsidRPr="00B60489">
        <w:rPr>
          <w:shd w:val="clear" w:color="auto" w:fill="FFFFFF"/>
        </w:rPr>
        <w:t xml:space="preserve"> and interestingly the second common PB motif </w:t>
      </w:r>
      <w:proofErr w:type="spellStart"/>
      <w:r w:rsidRPr="00B60489">
        <w:rPr>
          <w:i/>
          <w:shd w:val="clear" w:color="auto" w:fill="FFFFFF"/>
        </w:rPr>
        <w:t>dfbdcdfk</w:t>
      </w:r>
      <w:r w:rsidRPr="00B60489">
        <w:rPr>
          <w:b/>
          <w:i/>
          <w:u w:val="single"/>
          <w:shd w:val="clear" w:color="auto" w:fill="FFFFFF"/>
        </w:rPr>
        <w:t>n</w:t>
      </w:r>
      <w:r w:rsidRPr="00B60489">
        <w:rPr>
          <w:i/>
          <w:shd w:val="clear" w:color="auto" w:fill="FFFFFF"/>
        </w:rPr>
        <w:t>opacddfkl</w:t>
      </w:r>
      <w:proofErr w:type="spellEnd"/>
      <w:r w:rsidRPr="00B60489">
        <w:rPr>
          <w:shd w:val="clear" w:color="auto" w:fill="FFFFFF"/>
        </w:rPr>
        <w:t xml:space="preserve"> seen in 8 structures, which differ at only one PB position (underlined). Cluster H2-10-2 </w:t>
      </w:r>
      <w:r w:rsidRPr="00B60489">
        <w:t xml:space="preserve">(see Figure 4F) </w:t>
      </w:r>
      <w:r w:rsidRPr="00B60489">
        <w:rPr>
          <w:shd w:val="clear" w:color="auto" w:fill="FFFFFF"/>
        </w:rPr>
        <w:t xml:space="preserve">also exhibits similar behaviour with the two most common PB series </w:t>
      </w:r>
      <w:r w:rsidRPr="00B60489">
        <w:rPr>
          <w:i/>
          <w:shd w:val="clear" w:color="auto" w:fill="FFFFFF"/>
        </w:rPr>
        <w:t>dfbdcdfko</w:t>
      </w:r>
      <w:r w:rsidRPr="00B60489">
        <w:rPr>
          <w:b/>
          <w:i/>
          <w:u w:val="single"/>
          <w:shd w:val="clear" w:color="auto" w:fill="FFFFFF"/>
        </w:rPr>
        <w:t>p</w:t>
      </w:r>
      <w:r w:rsidRPr="00B60489">
        <w:rPr>
          <w:i/>
          <w:shd w:val="clear" w:color="auto" w:fill="FFFFFF"/>
        </w:rPr>
        <w:t>accddfkl</w:t>
      </w:r>
      <w:r w:rsidRPr="00B60489">
        <w:rPr>
          <w:shd w:val="clear" w:color="auto" w:fill="FFFFFF"/>
        </w:rPr>
        <w:t xml:space="preserve"> seen in 18 and </w:t>
      </w:r>
      <w:r w:rsidRPr="00B60489">
        <w:rPr>
          <w:i/>
          <w:shd w:val="clear" w:color="auto" w:fill="FFFFFF"/>
        </w:rPr>
        <w:t>dfbdcdfko</w:t>
      </w:r>
      <w:r w:rsidRPr="00B60489">
        <w:rPr>
          <w:b/>
          <w:i/>
          <w:u w:val="single"/>
          <w:shd w:val="clear" w:color="auto" w:fill="FFFFFF"/>
        </w:rPr>
        <w:t>m</w:t>
      </w:r>
      <w:r w:rsidRPr="00B60489">
        <w:rPr>
          <w:i/>
          <w:shd w:val="clear" w:color="auto" w:fill="FFFFFF"/>
        </w:rPr>
        <w:t>accddfkl</w:t>
      </w:r>
      <w:r w:rsidRPr="00B60489">
        <w:rPr>
          <w:shd w:val="clear" w:color="auto" w:fill="FFFFFF"/>
        </w:rPr>
        <w:t xml:space="preserve"> seen in 8 structures differing at one position (underlined). The flanking regions in all these clusters are identical at the N-termini of the loop. The C-termini although has a classic helical entry PB motif </w:t>
      </w:r>
      <w:proofErr w:type="spellStart"/>
      <w:r w:rsidRPr="00B60489">
        <w:rPr>
          <w:i/>
          <w:shd w:val="clear" w:color="auto" w:fill="FFFFFF"/>
        </w:rPr>
        <w:t>fkl</w:t>
      </w:r>
      <w:proofErr w:type="spellEnd"/>
      <w:r w:rsidRPr="00B60489">
        <w:rPr>
          <w:shd w:val="clear" w:color="auto" w:fill="FFFFFF"/>
        </w:rPr>
        <w:t xml:space="preserve">. The PB structural word </w:t>
      </w:r>
      <w:proofErr w:type="spellStart"/>
      <w:r w:rsidRPr="00B60489">
        <w:rPr>
          <w:i/>
          <w:shd w:val="clear" w:color="auto" w:fill="FFFFFF"/>
        </w:rPr>
        <w:t>dfkop</w:t>
      </w:r>
      <w:proofErr w:type="spellEnd"/>
      <w:r w:rsidRPr="00B60489">
        <w:rPr>
          <w:shd w:val="clear" w:color="auto" w:fill="FFFFFF"/>
        </w:rPr>
        <w:t xml:space="preserve"> seen in H2-9-1, H2-10-2 is rarely observed, as it is also the case with the structural word seen </w:t>
      </w:r>
      <w:proofErr w:type="spellStart"/>
      <w:r w:rsidRPr="00B60489">
        <w:rPr>
          <w:i/>
          <w:shd w:val="clear" w:color="auto" w:fill="FFFFFF"/>
        </w:rPr>
        <w:t>nopac</w:t>
      </w:r>
      <w:proofErr w:type="spellEnd"/>
      <w:r w:rsidRPr="00B60489">
        <w:rPr>
          <w:shd w:val="clear" w:color="auto" w:fill="FFFFFF"/>
        </w:rPr>
        <w:t xml:space="preserve"> seen in second common motif of cluster H2-10-1.</w:t>
      </w:r>
    </w:p>
    <w:p w:rsidR="00D01086" w:rsidRDefault="00D01086"/>
    <w:sectPr w:rsidR="00D01086" w:rsidSect="0047606D">
      <w:pgSz w:w="11900" w:h="16840"/>
      <w:pgMar w:top="1418" w:right="1418" w:bottom="1418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4B"/>
    <w:rsid w:val="0047606D"/>
    <w:rsid w:val="00972B4B"/>
    <w:rsid w:val="00D0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3865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link w:val="StandardChar"/>
    <w:qFormat/>
    <w:rsid w:val="00972B4B"/>
    <w:pPr>
      <w:widowControl w:val="0"/>
      <w:autoSpaceDE w:val="0"/>
      <w:autoSpaceDN w:val="0"/>
      <w:adjustRightInd w:val="0"/>
      <w:spacing w:line="480" w:lineRule="auto"/>
      <w:ind w:firstLine="612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StandardChar">
    <w:name w:val="Standard Char"/>
    <w:link w:val="Standard"/>
    <w:rsid w:val="00972B4B"/>
    <w:rPr>
      <w:rFonts w:ascii="Times New Roman" w:eastAsia="Times New Roman" w:hAnsi="Times New Roman" w:cs="Times New Roman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link w:val="StandardChar"/>
    <w:qFormat/>
    <w:rsid w:val="00972B4B"/>
    <w:pPr>
      <w:widowControl w:val="0"/>
      <w:autoSpaceDE w:val="0"/>
      <w:autoSpaceDN w:val="0"/>
      <w:adjustRightInd w:val="0"/>
      <w:spacing w:line="480" w:lineRule="auto"/>
      <w:ind w:firstLine="612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StandardChar">
    <w:name w:val="Standard Char"/>
    <w:link w:val="Standard"/>
    <w:rsid w:val="00972B4B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1194</Characters>
  <Application>Microsoft Macintosh Word</Application>
  <DocSecurity>0</DocSecurity>
  <Lines>9</Lines>
  <Paragraphs>2</Paragraphs>
  <ScaleCrop>false</ScaleCrop>
  <Company>INSERM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G. de Brevern</dc:creator>
  <cp:keywords/>
  <dc:description/>
  <cp:lastModifiedBy>Alexandre G. de Brevern</cp:lastModifiedBy>
  <cp:revision>1</cp:revision>
  <dcterms:created xsi:type="dcterms:W3CDTF">2019-05-23T16:30:00Z</dcterms:created>
  <dcterms:modified xsi:type="dcterms:W3CDTF">2019-05-23T16:31:00Z</dcterms:modified>
</cp:coreProperties>
</file>