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both"/>
        <w:rPr>
          <w:rFonts w:hint="default"/>
          <w:snapToGrid w:val="0"/>
          <w:sz w:val="32"/>
          <w:szCs w:val="32"/>
          <w:lang w:eastAsia="zh-CN" w:bidi="en-US"/>
        </w:rPr>
      </w:pPr>
      <w:r>
        <w:rPr>
          <w:rFonts w:hint="default"/>
          <w:snapToGrid w:val="0"/>
          <w:sz w:val="32"/>
          <w:szCs w:val="32"/>
          <w:lang w:eastAsia="zh-CN" w:bidi="en-US"/>
        </w:rPr>
        <w:t>Supplementary material</w:t>
      </w:r>
    </w:p>
    <w:p>
      <w:pPr>
        <w:spacing w:after="100" w:line="360" w:lineRule="auto"/>
        <w:jc w:val="center"/>
        <w:rPr>
          <w:rFonts w:eastAsia="宋体"/>
          <w:snapToGrid w:val="0"/>
          <w:sz w:val="21"/>
          <w:szCs w:val="21"/>
          <w:lang w:eastAsia="zh-CN" w:bidi="en-US"/>
        </w:rPr>
      </w:pPr>
      <w:r>
        <w:rPr>
          <w:snapToGrid w:val="0"/>
          <w:sz w:val="21"/>
          <w:szCs w:val="21"/>
          <w:lang w:eastAsia="zh-CN" w:bidi="en-US"/>
        </w:rPr>
        <w:t xml:space="preserve">Table </w:t>
      </w:r>
      <w:r>
        <w:rPr>
          <w:rFonts w:hint="eastAsia"/>
          <w:snapToGrid w:val="0"/>
          <w:sz w:val="21"/>
          <w:szCs w:val="21"/>
          <w:lang w:val="en-US" w:eastAsia="zh-CN" w:bidi="en-US"/>
        </w:rPr>
        <w:t>S</w:t>
      </w:r>
      <w:r>
        <w:rPr>
          <w:rFonts w:hint="eastAsia" w:eastAsia="宋体"/>
          <w:snapToGrid w:val="0"/>
          <w:sz w:val="21"/>
          <w:szCs w:val="21"/>
          <w:lang w:eastAsia="zh-CN" w:bidi="en-US"/>
        </w:rPr>
        <w:t>1</w:t>
      </w:r>
      <w:r>
        <w:rPr>
          <w:snapToGrid w:val="0"/>
          <w:sz w:val="21"/>
          <w:szCs w:val="21"/>
          <w:lang w:eastAsia="zh-CN" w:bidi="en-US"/>
        </w:rPr>
        <w:t>. Sequences of the primers used in qRT-PCR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641"/>
        <w:gridCol w:w="13"/>
        <w:gridCol w:w="3469"/>
        <w:gridCol w:w="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</w:trPr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jc w:val="left"/>
              <w:rPr>
                <w:b/>
                <w:snapToGrid w:val="0"/>
                <w:sz w:val="21"/>
                <w:szCs w:val="21"/>
                <w:lang w:eastAsia="zh-CN" w:bidi="en-US"/>
              </w:rPr>
            </w:pPr>
            <w:r>
              <w:rPr>
                <w:b/>
                <w:snapToGrid w:val="0"/>
                <w:sz w:val="21"/>
                <w:szCs w:val="21"/>
                <w:lang w:eastAsia="zh-CN" w:bidi="en-US"/>
              </w:rPr>
              <w:t>Genes</w:t>
            </w:r>
          </w:p>
        </w:tc>
        <w:tc>
          <w:tcPr>
            <w:tcW w:w="36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jc w:val="center"/>
              <w:rPr>
                <w:b/>
                <w:snapToGrid w:val="0"/>
                <w:sz w:val="21"/>
                <w:szCs w:val="21"/>
                <w:lang w:eastAsia="zh-CN" w:bidi="en-US"/>
              </w:rPr>
            </w:pPr>
            <w:r>
              <w:rPr>
                <w:b/>
                <w:snapToGrid w:val="0"/>
                <w:sz w:val="21"/>
                <w:szCs w:val="21"/>
                <w:lang w:eastAsia="zh-CN" w:bidi="en-US"/>
              </w:rPr>
              <w:t>Sense (5' -3')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jc w:val="center"/>
              <w:rPr>
                <w:b/>
                <w:snapToGrid w:val="0"/>
                <w:sz w:val="21"/>
                <w:szCs w:val="21"/>
                <w:lang w:eastAsia="zh-CN" w:bidi="en-US"/>
              </w:rPr>
            </w:pPr>
            <w:r>
              <w:rPr>
                <w:b/>
                <w:snapToGrid w:val="0"/>
                <w:sz w:val="21"/>
                <w:szCs w:val="21"/>
                <w:lang w:eastAsia="zh-CN" w:bidi="en-US"/>
              </w:rPr>
              <w:t>Antisense (5' -3')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SPARC</w:t>
            </w:r>
          </w:p>
        </w:tc>
        <w:tc>
          <w:tcPr>
            <w:tcW w:w="365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CCCATTGGCGAGTTTGAGAAG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CAAGGCCCGATGTAGTCCA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AKR1C1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TCCAGTGTCTGTAAAGCCAGG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CCAGCAGTTTTCTCTGGTTGAA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FRZB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GAGCCCATACTCATCAAGTACCG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CCTCGGGAGAGATGCACAC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AKR1C3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GTCATCCGTATTTCAACCGGAG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CCACCCATCGTTTGTCTCGTT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KLRC2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GCCAGCATTTTACCTTCCTCA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ACTGCACAGTTAAGTTCAGCAT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PLCL2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TTCAGAACTCAAAAAGGTTCGCT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GCTGCGGAATATGTCTGTGTT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CRABP2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CGCACCACAGAGATTAACTTC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TCTGGTCCACGAGGTCTT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ANXA10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GCTGGCCTCATGTACCCAC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CAAGCAGTAGGCTTCTCGC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PTGS2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ATGCTGACTATGGCTACAAAAGC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TCGGGCAATCATCAGGCAC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MCTP1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AGTTTACGCCTATCAGACCTACA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GATCGCTCAACCCGTTGGAAT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rFonts w:eastAsia="宋体"/>
                <w:snapToGrid w:val="0"/>
                <w:sz w:val="21"/>
                <w:szCs w:val="21"/>
                <w:lang w:eastAsia="zh-CN" w:bidi="en-US"/>
              </w:rPr>
            </w:pPr>
            <w:r>
              <w:rPr>
                <w:rFonts w:hint="eastAsia" w:eastAsia="宋体"/>
                <w:snapToGrid w:val="0"/>
                <w:sz w:val="21"/>
                <w:szCs w:val="21"/>
                <w:lang w:eastAsia="zh-CN" w:bidi="en-US"/>
              </w:rPr>
              <w:t>DIO2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TCCTCCTCGATGCCTACAAAC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GTGAGTAGACCAGTAGTCTGCT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EN2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CCGGCGTGGGTCTACTGTA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00" w:line="360" w:lineRule="auto"/>
              <w:rPr>
                <w:snapToGrid w:val="0"/>
                <w:sz w:val="21"/>
                <w:szCs w:val="21"/>
                <w:lang w:eastAsia="zh-CN" w:bidi="en-US"/>
              </w:rPr>
            </w:pPr>
            <w:r>
              <w:rPr>
                <w:snapToGrid w:val="0"/>
                <w:sz w:val="21"/>
                <w:szCs w:val="21"/>
                <w:lang w:eastAsia="zh-CN" w:bidi="en-US"/>
              </w:rPr>
              <w:t>CCTCTTTGTTCGGGTTCTTCTT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100" w:line="360" w:lineRule="auto"/>
              <w:rPr>
                <w:rFonts w:ascii="Times New Roman" w:hAnsi="Times New Roman" w:eastAsia="Times New Roman" w:cs="Times New Roman"/>
                <w:snapToGrid w:val="0"/>
                <w:color w:val="auto"/>
                <w:sz w:val="21"/>
                <w:szCs w:val="21"/>
                <w:lang w:val="en-US" w:eastAsia="zh-CN" w:bidi="en-US"/>
              </w:rPr>
            </w:pPr>
            <w:r>
              <w:rPr>
                <w:snapToGrid w:val="0"/>
                <w:color w:val="auto"/>
                <w:sz w:val="21"/>
                <w:szCs w:val="21"/>
                <w:lang w:eastAsia="zh-CN" w:bidi="en-US"/>
              </w:rPr>
              <w:t>GAPDH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Times New Roman" w:cs="Times New Roman"/>
                <w:snapToGrid w:val="0"/>
                <w:color w:val="auto"/>
                <w:sz w:val="21"/>
                <w:szCs w:val="21"/>
                <w:lang w:val="en-US" w:eastAsia="zh-CN" w:bidi="en-US"/>
              </w:rPr>
            </w:pPr>
            <w:r>
              <w:rPr>
                <w:snapToGrid w:val="0"/>
                <w:color w:val="auto"/>
                <w:sz w:val="21"/>
                <w:szCs w:val="21"/>
                <w:lang w:eastAsia="zh-CN" w:bidi="en-US"/>
              </w:rPr>
              <w:t>ATGCTGGCGCTGAGTACGTC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Times New Roman" w:cs="Times New Roman"/>
                <w:snapToGrid w:val="0"/>
                <w:color w:val="auto"/>
                <w:sz w:val="21"/>
                <w:szCs w:val="21"/>
                <w:lang w:val="en-US" w:eastAsia="zh-CN" w:bidi="en-US"/>
              </w:rPr>
            </w:pPr>
            <w:r>
              <w:rPr>
                <w:snapToGrid w:val="0"/>
                <w:color w:val="auto"/>
                <w:sz w:val="21"/>
                <w:szCs w:val="21"/>
                <w:lang w:eastAsia="zh-CN" w:bidi="en-US"/>
              </w:rPr>
              <w:t>GGTCATGAGTCCTTCCACGATA</w:t>
            </w:r>
          </w:p>
        </w:tc>
      </w:tr>
    </w:tbl>
    <w:p>
      <w:pPr>
        <w:spacing w:line="360" w:lineRule="auto"/>
        <w:rPr>
          <w:rFonts w:hint="default" w:eastAsia="宋体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F046B"/>
    <w:rsid w:val="281110B7"/>
    <w:rsid w:val="2DF53137"/>
    <w:rsid w:val="3E573DB2"/>
    <w:rsid w:val="50F23F47"/>
    <w:rsid w:val="66DA2628"/>
    <w:rsid w:val="6C500D93"/>
    <w:rsid w:val="74C11AEE"/>
    <w:rsid w:val="76BF4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sz w:val="24"/>
      <w:lang w:val="en-US" w:eastAsia="de-DE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2019-12-30T06:59:01Z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