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54160" w14:textId="77777777" w:rsidR="00F35026" w:rsidRDefault="00E279DC" w:rsidP="003C69DB">
      <w:pPr>
        <w:rPr>
          <w:b/>
        </w:rPr>
      </w:pPr>
      <w:r>
        <w:rPr>
          <w:b/>
        </w:rPr>
        <w:t>Table S</w:t>
      </w:r>
      <w:r w:rsidR="00F35026" w:rsidRPr="00F35026">
        <w:rPr>
          <w:b/>
        </w:rPr>
        <w:t>3: Identified asthma genes</w:t>
      </w:r>
    </w:p>
    <w:p w14:paraId="3BA9D5E5" w14:textId="77777777" w:rsidR="00D50652" w:rsidRPr="00747AA0" w:rsidRDefault="00D50652" w:rsidP="003C69DB">
      <w:pPr>
        <w:rPr>
          <w:b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1054"/>
      </w:tblGrid>
      <w:tr w:rsidR="00F35026" w:rsidRPr="00E279DC" w14:paraId="103679FD" w14:textId="77777777" w:rsidTr="004A3689">
        <w:tc>
          <w:tcPr>
            <w:tcW w:w="2235" w:type="dxa"/>
          </w:tcPr>
          <w:p w14:paraId="7D7F79BF" w14:textId="77777777" w:rsidR="00F35026" w:rsidRPr="00E279DC" w:rsidRDefault="00F35026" w:rsidP="00E279DC">
            <w:pPr>
              <w:spacing w:line="360" w:lineRule="auto"/>
              <w:rPr>
                <w:b/>
              </w:rPr>
            </w:pPr>
            <w:r w:rsidRPr="00E279DC">
              <w:rPr>
                <w:b/>
              </w:rPr>
              <w:t>Number</w:t>
            </w:r>
          </w:p>
        </w:tc>
        <w:tc>
          <w:tcPr>
            <w:tcW w:w="11939" w:type="dxa"/>
          </w:tcPr>
          <w:p w14:paraId="1E6E8023" w14:textId="77777777" w:rsidR="00F35026" w:rsidRPr="00E279DC" w:rsidRDefault="00F35026" w:rsidP="00E279DC">
            <w:pPr>
              <w:spacing w:line="360" w:lineRule="auto"/>
              <w:rPr>
                <w:b/>
              </w:rPr>
            </w:pPr>
            <w:r w:rsidRPr="00E279DC">
              <w:rPr>
                <w:b/>
              </w:rPr>
              <w:t>Asthma genes</w:t>
            </w:r>
          </w:p>
        </w:tc>
      </w:tr>
      <w:tr w:rsidR="00F35026" w:rsidRPr="00E279DC" w14:paraId="71D753A4" w14:textId="77777777" w:rsidTr="004A3689">
        <w:tc>
          <w:tcPr>
            <w:tcW w:w="2235" w:type="dxa"/>
          </w:tcPr>
          <w:p w14:paraId="14F28607" w14:textId="471E51FF" w:rsidR="00F35026" w:rsidRPr="00E279DC" w:rsidRDefault="00E651B9" w:rsidP="00E279DC">
            <w:pPr>
              <w:spacing w:line="360" w:lineRule="auto"/>
            </w:pPr>
            <w:r>
              <w:t>n</w:t>
            </w:r>
            <w:r w:rsidR="00F35026" w:rsidRPr="00E279DC">
              <w:t>=234</w:t>
            </w:r>
          </w:p>
        </w:tc>
        <w:tc>
          <w:tcPr>
            <w:tcW w:w="11939" w:type="dxa"/>
          </w:tcPr>
          <w:p w14:paraId="370C66FA" w14:textId="35DA7DDB" w:rsidR="00F35026" w:rsidRPr="00E279DC" w:rsidRDefault="00F35026" w:rsidP="00E279DC">
            <w:pPr>
              <w:spacing w:line="360" w:lineRule="auto"/>
            </w:pPr>
            <w:r w:rsidRPr="00E279DC">
              <w:t xml:space="preserve">Adenosine deaminase (ADA); Adenosine receptor A2a (ADORA2A); Angiotensin-converting enzyme (ACE); Arginase-1 (ARG1); Beta-3 adrenergic receptor (ADRB3); Calcium-activated chloride channel regulator 1 (CLCA1); Calcium-activated potassium channel subunit beta-1 (KCNMB1); C-C motif chemokine 26 (CCL26); CD40 ligand (CD40); Chitotriosidase-1 (CHIT1); Cyclic AMP-responsive element-binding protein 1 (CREB1); Cysteinyl leukotriene receptor 1 (CYSLTR1); Cytochrome P450 2J2 (CYP2J2); </w:t>
            </w:r>
            <w:proofErr w:type="spellStart"/>
            <w:r w:rsidRPr="00E279DC">
              <w:t>Disintegrin</w:t>
            </w:r>
            <w:proofErr w:type="spellEnd"/>
            <w:r w:rsidRPr="00E279DC">
              <w:t xml:space="preserve"> and metalloproteinase domain-containing protein 33 (ADAM33); Eosinophil cationic protein (RNASE3); </w:t>
            </w:r>
            <w:proofErr w:type="spellStart"/>
            <w:r w:rsidRPr="00E279DC">
              <w:t>Gasdermin</w:t>
            </w:r>
            <w:proofErr w:type="spellEnd"/>
            <w:r w:rsidRPr="00E279DC">
              <w:t xml:space="preserve">-B (GSDMB); Glutathione S-transferase theta-1 (GSTT1); Granzyme B (GZMB); Hepatitis A virus cellular receptor 1 (HAVCR1); HLA class I histocompatibility antigen, alpha chain G (HLA-G); HLA class II histocompatibility antigen, DP beta 1 chain (HLA-DPB1); HLA class II histocompatibility antigen, DR alpha chain (HLA-DRA); Inactive dipeptidyl peptidase 10 (DPP10); Inducible T-cell </w:t>
            </w:r>
            <w:proofErr w:type="spellStart"/>
            <w:r w:rsidRPr="00E279DC">
              <w:t>costimulator</w:t>
            </w:r>
            <w:proofErr w:type="spellEnd"/>
            <w:r w:rsidRPr="00E279DC">
              <w:t xml:space="preserve"> (ICOS); Integrin beta-2 (ITGB2); Interleukin-1 receptor antagonist protein (IL1RN); Interleukin-1 receptor-like 1 (IL1RL1); Interleukin-18 (IL18); Interleukin-18 receptor 1 (IL18R1); Interleukin-33 (IL33); Interleukin-7 receptor subunit alpha (IL7); </w:t>
            </w:r>
            <w:proofErr w:type="spellStart"/>
            <w:r w:rsidRPr="00E279DC">
              <w:t>Lactotransferrin</w:t>
            </w:r>
            <w:proofErr w:type="spellEnd"/>
            <w:r w:rsidRPr="00E279DC">
              <w:t xml:space="preserve"> (LTF); Low affinity immunoglobulin epsilon Fc receptor (FCER2); Macrophage mannose receptor 1 (MRC1); Matrix metalloproteinase-9 (MMP9); Multidrug resistance protein 1 (ABCB1); Neuropeptide S receptor (NPSR1); </w:t>
            </w:r>
            <w:proofErr w:type="spellStart"/>
            <w:r w:rsidRPr="00E279DC">
              <w:t>Osteopontin</w:t>
            </w:r>
            <w:proofErr w:type="spellEnd"/>
            <w:r w:rsidRPr="00E279DC">
              <w:t xml:space="preserve"> (SPP1); Pulmonary surfactant-associated protein C (SFTPC); Pulmonary surfactant-associated protein D (SFTPD); Receptor-type tyrosine-protein phosphate epsilon (PTPRE); </w:t>
            </w:r>
            <w:proofErr w:type="spellStart"/>
            <w:r w:rsidRPr="00E279DC">
              <w:t>Secretoglobin</w:t>
            </w:r>
            <w:proofErr w:type="spellEnd"/>
            <w:r w:rsidRPr="00E279DC">
              <w:t xml:space="preserve"> family 3A member 2 (SCGB3A2); T-cell immunoglobulin and mucin domain-containing protein 4 (TIMD4); T-lymphocyte activation antigen CD86 (CD86); Transcriptional activator </w:t>
            </w:r>
            <w:proofErr w:type="spellStart"/>
            <w:r w:rsidRPr="00E279DC">
              <w:t>Myb</w:t>
            </w:r>
            <w:proofErr w:type="spellEnd"/>
            <w:r w:rsidRPr="00E279DC">
              <w:t xml:space="preserve"> (MYB); </w:t>
            </w:r>
            <w:proofErr w:type="spellStart"/>
            <w:r w:rsidRPr="00E279DC">
              <w:t>Tumor</w:t>
            </w:r>
            <w:proofErr w:type="spellEnd"/>
            <w:r w:rsidRPr="00E279DC">
              <w:t xml:space="preserve"> necrosis factor receptor superfamily member 10B (TNFRSF10B); Urokinase plasminogen activator surface receptor (PLAUR); 28S ribosomal protein S29 (DAP3); 5-hydroxytryptamine receptor 2A </w:t>
            </w:r>
            <w:r w:rsidRPr="00E279DC">
              <w:lastRenderedPageBreak/>
              <w:t>(HTR2A); Adenosine receptor A1 (ADORA1); Adenylate cyclase type 9 (ADCY9); Aldehyde dehydrogenase, mitochondrial (ALDH2); Alpha-1-antitrypsin (SERPINA1); Arachidonate 15-lipoxygenase (ALOX15); Arachidonate 5-lipoxygenase (ALOX5); Arachidonate 5-lipoxygenase-activating protein (ALOX5AP); Arginase-2, mitochondrial (ARG2); Arylamine N-acetyltransferase 1 (NAT1); Arylamine N-acetyltransferase 2 (NAT2); B1 bradykinin receptor (BDKRB1); B2 bradykinin receptor (BDKRB2); Beta-2 adrenergic receptor (ADRB2); Beta-defensin 1 (DEFB1); Beta-nerve growth factor (NGF); Brain-derived neurotrophic factor (BDNF); C3a anaphylatoxin chemotactic receptor (C3AR1); cAMP-specific 3</w:t>
            </w:r>
            <w:r w:rsidR="00D571F5">
              <w:t>’</w:t>
            </w:r>
            <w:r w:rsidRPr="00E279DC">
              <w:t>,5</w:t>
            </w:r>
            <w:r w:rsidR="00D571F5">
              <w:t>’</w:t>
            </w:r>
            <w:r w:rsidRPr="00E279DC">
              <w:t>-cyclic phosphodiesterase 4D (</w:t>
            </w:r>
            <w:bookmarkStart w:id="0" w:name="_GoBack"/>
            <w:r w:rsidRPr="00E279DC">
              <w:t>PDE</w:t>
            </w:r>
            <w:bookmarkEnd w:id="0"/>
            <w:r w:rsidRPr="00E279DC">
              <w:t xml:space="preserve">4D); Catalase (CAT); C-C chemokine receptor type 1 (CCR1); C-C chemokine receptor type 2 (CCR2); C-C chemokine receptor type 3 (CCR3); C-C chemokine receptor type 4 (CCR4); C-C chemokine receptor type 5 (CCR5); C-C motif chemokine 2 (CCL2); C-C motif chemokine 24 (CCL24); C-C motif chemokine 5 (CCL5); C-C motif chemokine 7 (CCL7); </w:t>
            </w:r>
            <w:proofErr w:type="spellStart"/>
            <w:r w:rsidRPr="00E279DC">
              <w:t>Chymase</w:t>
            </w:r>
            <w:proofErr w:type="spellEnd"/>
            <w:r w:rsidRPr="00E279DC">
              <w:t xml:space="preserve"> (CMA1); Complement C3 (C3); Complement c5 (C5); Corticotropin-releasing factor receptor 1 (CRHR1); CX3C chemokine receptor 1 (CX3CR1); C-X-C chemokine receptor type 1 (CXCR1); C-X-C chemokine receptor type 2 (CXCR2); C-X-C chemokine receptor type 3 (CXCR3); C-X-C chemokine receptor type 4 (CXCR4); Cyclic adenosine monophosphate (CAMP); Cysteinyl leukotriene receptor 2 (CYSLTR2); Cystic fibrosis transmembrane conductance regulator (CFTR); Cytochrome P450 1A1 (CYP1A1); Cytochrome P450 1B1 (CYP1B1); Cytochrome P450 3A4 (CYP3A4); Cytokine receptor-like factor 2 (CRLF2); Cytosolic phospholipase A2 (PLA2G4A); Cytotoxic T-lymphocyte protein 4 (CTLA4); Early growth response protein 1 (EGR1); Endothelin receptor type B (EDNRB); Endothelin-1 (EDN1); Epidermal growth factor receptor (EGFR); E-selectin (SELE); Estrogen receptor 1 (ESR1); Filaggrin (FLG); </w:t>
            </w:r>
            <w:proofErr w:type="spellStart"/>
            <w:r w:rsidRPr="00E279DC">
              <w:t>Forkhead</w:t>
            </w:r>
            <w:proofErr w:type="spellEnd"/>
            <w:r w:rsidRPr="00E279DC">
              <w:t xml:space="preserve"> box protein P3 (FOXP3); Fractalkine (CX3CL1); Glucocorticoid receptor (NR3C1); Glutathione S-transferase Mu 1 (GSTM1); Glutathione S-transferase P (GSTP1); Granzyme A (GZMA); H2.0-like homeobox protein (HLX); Hematopoietic prostaglandin D synthase (HPGDS); Hepatitis A virus cellular </w:t>
            </w:r>
            <w:r w:rsidRPr="00E279DC">
              <w:lastRenderedPageBreak/>
              <w:t xml:space="preserve">receptor 2 (HAVCR2); High affinity immunoglobulin epsilon receptor subunit alpha (FCER1A); High affinity immunoglobulin epsilon receptor subunit beta (MS4A2); Histamine H4 receptor (HRH4); Histamine N-methyltransferase (HNMT); HLA class I histocompatibility antigen, B-51 alpha chain (HLA-B); HLA class II histocompatibility antigen, DQ alpha 1 chain (HLA-DQA1); HLA class II histocompatibility antigen, DQ beta 1 chain (HLA-DQB1); HLA class II histocompatibility antigen, DRB1-14 beta chain (HLA-DRB1); Integrin alpha-4 (ITGA4); Integrin beta-3 (ITGB3); Intercellular adhesion molecule 1 (ICAM1); Interferon alpha-1/13 (IFNA1); Interferon gamma (IFNG); Interferon regulatory factor 1 (IRF1); Interleukin-1 alpha (IL1A); Interleukin-1 beta (IL1B); Interleukin-1 receptor type 1 (IL1R1); Interleukin-1 receptor type 2 (IL1R2); Interleukin-10 (IL10); Interleukin-11 (IL11); Interleukin-12 subunit alpha (IL12A); Interleukin-12 subunit beta (IL12B); Interleukin-13 (IL13); Interleukin-13 receptor subunit alpha-1 (IL13RA1); Interleukin-15 (IL15); Interleukin-16 (IL16); Interleukin-17 receptor A  (IL17RA); Interleukin-17A (IL17A); Interleukin-17F (IL17F); Interleukin-19 (IL19); Interleukin-2 (IL2); Interleukin-2 receptor subunit alpha (IL2RA); Interleukin-21 (IL21); Interleukin-23 subunit alpha (IL23A); Interleukin-27 (IL27); Interleukin-3 (IL3); Interleukin-4 (IL4); Interleukin-4 receptor subunit alpha (IL4R); Interleukin-5 (IL5); Interleukin-5 receptor subunit alpha (IL5RA); Interleukin-6 (IL6); Interleukin-6 receptor subunit alpha (IL6R); Interleukin-9 (IL9); Interleukin-9 receptor (IL9R); Interstitial collagenase (MMP1); Kinase insert domain receptor (KDR); Lanosterol synthase (LSS); Leptin LEP </w:t>
            </w:r>
            <w:proofErr w:type="spellStart"/>
            <w:r w:rsidRPr="00E279DC">
              <w:t>Eotaxin</w:t>
            </w:r>
            <w:proofErr w:type="spellEnd"/>
            <w:r w:rsidRPr="00E279DC">
              <w:t xml:space="preserve"> (CCL11); Leptin receptor (LEPR); Leukotriene A-4 hydrolase (LTA); Leukotriene A4 hydrolase (LTA4H); Leukotriene B4 receptor 1 (LTB4R); Leukotriene C4 synthase (LTC4S); Macrophage metalloelastase (MMP12); Macrophage migration inhibitory factor (MIF); Mannose-binding protein C (MBL2); Metalloproteinase inhibitor 1 (TIMP1); Methylenetetrahydrofolate reductase (MTHFR); Monocyte differentiation antigen CD14 (CD14); Mucin-5AC (MUC5AC); Mucin-7 (MUC7); Muscarinic acetylcholine receptor M1 (CHRM1); Muscarinic acetylcholine receptor M2 (CHRM2); Muscarinic acetylcholine receptor </w:t>
            </w:r>
            <w:r w:rsidRPr="00E279DC">
              <w:lastRenderedPageBreak/>
              <w:t xml:space="preserve">M3 (CHRM3); Myeloperoxidase (MPO); Myosin light chain kinase, smooth muscle (MYLK); NAD(P)H dehydrogenase [quinone] 1 (NQO1); Natriuretic peptides A (NPPA); Neuronal acetylcholine receptor sub-unit 5 (CHRNA5); Neutrophil elastase (ELANE); NF-kappa-B inhibitor alpha (NFKBIA); Nitric oxide synthase, brain (NOS1); Nitric oxide synthase, endothelial (NOS3); Nitric oxide synthase, inducible (NOS2); Nucleotide-binding oligomerization domain-containing protein 1 (NOD1); Nucleotide-binding oligomerization domain-containing protein 2 (NOD2); ORM1-like protein 3 (ORMDL3); Peroxisome proliferator-activated receptor gamma (PPARG); PHD finger protein 11 (PHF11); Plasminogen activator inhibitor 1 (SERPINE1); Platelet endothelial cell adhesion molecule (PECAM1); Platelet-activating factor </w:t>
            </w:r>
            <w:proofErr w:type="spellStart"/>
            <w:r w:rsidRPr="00E279DC">
              <w:t>acetylhydrolase</w:t>
            </w:r>
            <w:proofErr w:type="spellEnd"/>
            <w:r w:rsidRPr="00E279DC">
              <w:t xml:space="preserve"> (PLA2G7); Poly [ADP-ribose] polymerase 1 (PARP1); Prostaglandin D2 receptor 2 (PTGDR); Prostaglandin D2 receptor 2 (PTGDR2); Prostaglandin E2 receptor EP3 subtype (PTGER3); Prostaglandin E2 receptor EP4 subtype (PTGER2); Prostaglandin E2 receptor EP4 subtype (PTGER4); Prostaglandin G/H synthase 1 (PTGS1); Prostaglandin G/H synthase 2 (PTGS2); P-selectin (SELP); Serine protease inhibitor </w:t>
            </w:r>
            <w:proofErr w:type="spellStart"/>
            <w:r w:rsidRPr="00E279DC">
              <w:t>Kazal</w:t>
            </w:r>
            <w:proofErr w:type="spellEnd"/>
            <w:r w:rsidRPr="00E279DC">
              <w:t xml:space="preserve">-type 5 (SPINK5); Serum </w:t>
            </w:r>
            <w:proofErr w:type="spellStart"/>
            <w:r w:rsidRPr="00E279DC">
              <w:t>paraoxonase</w:t>
            </w:r>
            <w:proofErr w:type="spellEnd"/>
            <w:r w:rsidRPr="00E279DC">
              <w:t>/</w:t>
            </w:r>
            <w:proofErr w:type="spellStart"/>
            <w:r w:rsidRPr="00E279DC">
              <w:t>arylesterase</w:t>
            </w:r>
            <w:proofErr w:type="spellEnd"/>
            <w:r w:rsidRPr="00E279DC">
              <w:t xml:space="preserve"> 1 (PON1); Signal transducer and activator of transcription 3 (STAT3); Signal transducer and activator of transcription 4 (STAT4); Signal transducer and activator of transcription 6 (STAT6); </w:t>
            </w:r>
            <w:proofErr w:type="spellStart"/>
            <w:r w:rsidRPr="00E279DC">
              <w:t>Src</w:t>
            </w:r>
            <w:proofErr w:type="spellEnd"/>
            <w:r w:rsidRPr="00E279DC">
              <w:t xml:space="preserve"> substrate cortactin (CTTN); Superoxide dismutase [Mn] (SOD2); Suppressor of cytokine </w:t>
            </w:r>
            <w:proofErr w:type="spellStart"/>
            <w:r w:rsidRPr="00E279DC">
              <w:t>signaling</w:t>
            </w:r>
            <w:proofErr w:type="spellEnd"/>
            <w:r w:rsidRPr="00E279DC">
              <w:t xml:space="preserve"> 1 (SOCS1); T-box transcription factor (TBX21); T-cell-specific surface glycoprotein CD28 (CD28); Tenascin (TNC); Thromboxane A2 receptor (TBXA2R); Thymic stromal lymphopoietin (TSLP); Toll-like receptor 10 (TLR10); Toll-like receptor 2 (TLR2); Toll-like receptor 3 (TLR3); Toll-like receptor 4 (TLR4); Toll-like receptor 6 (TLR6); Toll-like receptor 9 (TLR9); Trans-acting T-cell-specific transcription factor GATA-3 (GATA3); Transforming growth factor beta-1 (TGFB1); Tryptase alpha/beta-1 (TPSAB1); </w:t>
            </w:r>
            <w:proofErr w:type="spellStart"/>
            <w:r w:rsidRPr="00E279DC">
              <w:t>Tumor</w:t>
            </w:r>
            <w:proofErr w:type="spellEnd"/>
            <w:r w:rsidRPr="00E279DC">
              <w:t xml:space="preserve"> necrosis factor (TNF); Type I inositol 3,4-bisphosphate 4-phosphatase (INPP4A); Tyrosine-protein kinase JAK1 (JAK1); Tyrosine-protein phosphatase non-receptor type 22 (PTPN22); Urokinase-type plasminogen activator (PLAU); </w:t>
            </w:r>
            <w:r w:rsidRPr="00E279DC">
              <w:lastRenderedPageBreak/>
              <w:t xml:space="preserve">Uteroglobin (SCGB1A1); Vascular endothelial growth factor A (VEGFA); Vitamin D3 receptor (VDR); Vitamin D-binding protein (GC); WD repeat-containing protein 36 (WDR36) </w:t>
            </w:r>
          </w:p>
        </w:tc>
      </w:tr>
    </w:tbl>
    <w:p w14:paraId="6CB0BE13" w14:textId="77777777" w:rsidR="003C69DB" w:rsidRPr="003C69DB" w:rsidRDefault="003C69DB" w:rsidP="00747AA0">
      <w:pPr>
        <w:spacing w:line="480" w:lineRule="auto"/>
        <w:rPr>
          <w:b/>
          <w:sz w:val="22"/>
          <w:szCs w:val="22"/>
        </w:rPr>
      </w:pPr>
    </w:p>
    <w:sectPr w:rsidR="003C69DB" w:rsidRPr="003C69DB" w:rsidSect="00D47296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4795E" w14:textId="77777777" w:rsidR="006715C1" w:rsidRDefault="006715C1" w:rsidP="00E651B9">
      <w:r>
        <w:separator/>
      </w:r>
    </w:p>
  </w:endnote>
  <w:endnote w:type="continuationSeparator" w:id="0">
    <w:p w14:paraId="2E48CEC0" w14:textId="77777777" w:rsidR="006715C1" w:rsidRDefault="006715C1" w:rsidP="00E6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CE8D9" w14:textId="77777777" w:rsidR="006715C1" w:rsidRDefault="006715C1" w:rsidP="00E651B9">
      <w:r>
        <w:separator/>
      </w:r>
    </w:p>
  </w:footnote>
  <w:footnote w:type="continuationSeparator" w:id="0">
    <w:p w14:paraId="4AB569D5" w14:textId="77777777" w:rsidR="006715C1" w:rsidRDefault="006715C1" w:rsidP="00E6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3527"/>
    <w:multiLevelType w:val="hybridMultilevel"/>
    <w:tmpl w:val="A15C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6B68"/>
    <w:multiLevelType w:val="hybridMultilevel"/>
    <w:tmpl w:val="AC0E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116EF"/>
    <w:multiLevelType w:val="hybridMultilevel"/>
    <w:tmpl w:val="D3086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6E5CA5"/>
    <w:multiLevelType w:val="multilevel"/>
    <w:tmpl w:val="CEBA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241CD"/>
    <w:multiLevelType w:val="hybridMultilevel"/>
    <w:tmpl w:val="5AFE1F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B4B68"/>
    <w:multiLevelType w:val="hybridMultilevel"/>
    <w:tmpl w:val="10D40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E770B"/>
    <w:multiLevelType w:val="hybridMultilevel"/>
    <w:tmpl w:val="49C441E8"/>
    <w:lvl w:ilvl="0" w:tplc="C0F4D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2F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E0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4C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4C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46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68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D8C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22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61323A"/>
    <w:multiLevelType w:val="hybridMultilevel"/>
    <w:tmpl w:val="3EE68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2BBC"/>
    <w:multiLevelType w:val="hybridMultilevel"/>
    <w:tmpl w:val="2398E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E4463"/>
    <w:multiLevelType w:val="hybridMultilevel"/>
    <w:tmpl w:val="B320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B0362"/>
    <w:multiLevelType w:val="multilevel"/>
    <w:tmpl w:val="641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924333"/>
    <w:multiLevelType w:val="hybridMultilevel"/>
    <w:tmpl w:val="966C588C"/>
    <w:lvl w:ilvl="0" w:tplc="5BFE8D8A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2F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EF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EE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20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A5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6F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49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2AF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7D69F6"/>
    <w:multiLevelType w:val="multilevel"/>
    <w:tmpl w:val="8E6AE5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27F6FFF"/>
    <w:multiLevelType w:val="hybridMultilevel"/>
    <w:tmpl w:val="AADAF1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4663C"/>
    <w:multiLevelType w:val="hybridMultilevel"/>
    <w:tmpl w:val="DFB25D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44D22"/>
    <w:multiLevelType w:val="multilevel"/>
    <w:tmpl w:val="A5EE4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9F410A"/>
    <w:multiLevelType w:val="multilevel"/>
    <w:tmpl w:val="BBE60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9CB34BE"/>
    <w:multiLevelType w:val="multilevel"/>
    <w:tmpl w:val="188AC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5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  <w:num w:numId="12">
    <w:abstractNumId w:val="14"/>
  </w:num>
  <w:num w:numId="13">
    <w:abstractNumId w:val="10"/>
  </w:num>
  <w:num w:numId="14">
    <w:abstractNumId w:val="8"/>
  </w:num>
  <w:num w:numId="15">
    <w:abstractNumId w:val="13"/>
  </w:num>
  <w:num w:numId="16">
    <w:abstractNumId w:val="5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NTIzMDY3NbUwMLBQ0lEKTi0uzszPAykwqgUAFdPjPS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Ethnopharmac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t5pddafqt025qexfd2xz0e2es2ffs55a2sa&quot;&gt;Docking paper 14.5.19&lt;record-ids&gt;&lt;item&gt;3&lt;/item&gt;&lt;item&gt;6&lt;/item&gt;&lt;item&gt;7&lt;/item&gt;&lt;item&gt;9&lt;/item&gt;&lt;item&gt;10&lt;/item&gt;&lt;item&gt;11&lt;/item&gt;&lt;item&gt;12&lt;/item&gt;&lt;item&gt;13&lt;/item&gt;&lt;item&gt;15&lt;/item&gt;&lt;item&gt;16&lt;/item&gt;&lt;item&gt;17&lt;/item&gt;&lt;item&gt;20&lt;/item&gt;&lt;item&gt;21&lt;/item&gt;&lt;item&gt;22&lt;/item&gt;&lt;item&gt;23&lt;/item&gt;&lt;item&gt;30&lt;/item&gt;&lt;item&gt;31&lt;/item&gt;&lt;item&gt;33&lt;/item&gt;&lt;item&gt;36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1&lt;/item&gt;&lt;item&gt;52&lt;/item&gt;&lt;item&gt;54&lt;/item&gt;&lt;item&gt;55&lt;/item&gt;&lt;item&gt;57&lt;/item&gt;&lt;item&gt;58&lt;/item&gt;&lt;item&gt;59&lt;/item&gt;&lt;item&gt;60&lt;/item&gt;&lt;item&gt;61&lt;/item&gt;&lt;item&gt;62&lt;/item&gt;&lt;/record-ids&gt;&lt;/item&gt;&lt;/Libraries&gt;"/>
  </w:docVars>
  <w:rsids>
    <w:rsidRoot w:val="001E72C0"/>
    <w:rsid w:val="000023F2"/>
    <w:rsid w:val="00003121"/>
    <w:rsid w:val="00010EAB"/>
    <w:rsid w:val="00012CA5"/>
    <w:rsid w:val="00017E32"/>
    <w:rsid w:val="000227AA"/>
    <w:rsid w:val="00027545"/>
    <w:rsid w:val="00031B21"/>
    <w:rsid w:val="000365B7"/>
    <w:rsid w:val="00040931"/>
    <w:rsid w:val="0004486D"/>
    <w:rsid w:val="00050E00"/>
    <w:rsid w:val="00051C98"/>
    <w:rsid w:val="00053F9B"/>
    <w:rsid w:val="00055CAB"/>
    <w:rsid w:val="0005792E"/>
    <w:rsid w:val="00070363"/>
    <w:rsid w:val="00074DD8"/>
    <w:rsid w:val="0007657C"/>
    <w:rsid w:val="000A3F85"/>
    <w:rsid w:val="000A6737"/>
    <w:rsid w:val="000A72FB"/>
    <w:rsid w:val="000A7EFB"/>
    <w:rsid w:val="000B5273"/>
    <w:rsid w:val="000B5D5D"/>
    <w:rsid w:val="000C27AC"/>
    <w:rsid w:val="000C3247"/>
    <w:rsid w:val="000D071D"/>
    <w:rsid w:val="000D289A"/>
    <w:rsid w:val="000E442D"/>
    <w:rsid w:val="000E594F"/>
    <w:rsid w:val="000E5B4C"/>
    <w:rsid w:val="000F3AE5"/>
    <w:rsid w:val="0010536D"/>
    <w:rsid w:val="001063D9"/>
    <w:rsid w:val="00107BAA"/>
    <w:rsid w:val="00117F63"/>
    <w:rsid w:val="00125B31"/>
    <w:rsid w:val="00126DBE"/>
    <w:rsid w:val="00130863"/>
    <w:rsid w:val="001308A3"/>
    <w:rsid w:val="00131563"/>
    <w:rsid w:val="00131BAF"/>
    <w:rsid w:val="00133809"/>
    <w:rsid w:val="00140B9E"/>
    <w:rsid w:val="00142B3B"/>
    <w:rsid w:val="0014325E"/>
    <w:rsid w:val="00144ED3"/>
    <w:rsid w:val="00150C40"/>
    <w:rsid w:val="00150EAB"/>
    <w:rsid w:val="00155721"/>
    <w:rsid w:val="00161EA0"/>
    <w:rsid w:val="00165F53"/>
    <w:rsid w:val="0017047A"/>
    <w:rsid w:val="00174A12"/>
    <w:rsid w:val="001769E2"/>
    <w:rsid w:val="001824D4"/>
    <w:rsid w:val="001B2DFA"/>
    <w:rsid w:val="001B57B6"/>
    <w:rsid w:val="001C3BE3"/>
    <w:rsid w:val="001C3ED0"/>
    <w:rsid w:val="001C4B3C"/>
    <w:rsid w:val="001C4E34"/>
    <w:rsid w:val="001D4DB4"/>
    <w:rsid w:val="001D626F"/>
    <w:rsid w:val="001E41D8"/>
    <w:rsid w:val="001E4B2B"/>
    <w:rsid w:val="001E70BE"/>
    <w:rsid w:val="001E72C0"/>
    <w:rsid w:val="001F10B1"/>
    <w:rsid w:val="001F42A5"/>
    <w:rsid w:val="001F4C04"/>
    <w:rsid w:val="00200334"/>
    <w:rsid w:val="00213F9A"/>
    <w:rsid w:val="002173BB"/>
    <w:rsid w:val="00226981"/>
    <w:rsid w:val="00233466"/>
    <w:rsid w:val="00242484"/>
    <w:rsid w:val="00242D12"/>
    <w:rsid w:val="002533E2"/>
    <w:rsid w:val="0026118D"/>
    <w:rsid w:val="00264FD5"/>
    <w:rsid w:val="002668C3"/>
    <w:rsid w:val="00266C5D"/>
    <w:rsid w:val="00291015"/>
    <w:rsid w:val="00295FAB"/>
    <w:rsid w:val="00296106"/>
    <w:rsid w:val="002A607B"/>
    <w:rsid w:val="002B04B7"/>
    <w:rsid w:val="002C2587"/>
    <w:rsid w:val="002D70CA"/>
    <w:rsid w:val="002E12D0"/>
    <w:rsid w:val="002E6EA1"/>
    <w:rsid w:val="002F4692"/>
    <w:rsid w:val="002F52BD"/>
    <w:rsid w:val="002F69D8"/>
    <w:rsid w:val="00301AE2"/>
    <w:rsid w:val="00303244"/>
    <w:rsid w:val="00312F79"/>
    <w:rsid w:val="0032598D"/>
    <w:rsid w:val="00326052"/>
    <w:rsid w:val="00326A7F"/>
    <w:rsid w:val="00326CB5"/>
    <w:rsid w:val="0033136A"/>
    <w:rsid w:val="0033415F"/>
    <w:rsid w:val="003455CA"/>
    <w:rsid w:val="003577A1"/>
    <w:rsid w:val="0036202B"/>
    <w:rsid w:val="00367D64"/>
    <w:rsid w:val="00370A4D"/>
    <w:rsid w:val="003717AB"/>
    <w:rsid w:val="00374BDA"/>
    <w:rsid w:val="003971CF"/>
    <w:rsid w:val="003A0C6A"/>
    <w:rsid w:val="003A51FE"/>
    <w:rsid w:val="003B08A8"/>
    <w:rsid w:val="003B7E08"/>
    <w:rsid w:val="003C65BE"/>
    <w:rsid w:val="003C69DB"/>
    <w:rsid w:val="003D6EE3"/>
    <w:rsid w:val="003E448D"/>
    <w:rsid w:val="003F4566"/>
    <w:rsid w:val="003F533A"/>
    <w:rsid w:val="00401E43"/>
    <w:rsid w:val="00403D23"/>
    <w:rsid w:val="004046AE"/>
    <w:rsid w:val="00405258"/>
    <w:rsid w:val="00417118"/>
    <w:rsid w:val="00420482"/>
    <w:rsid w:val="00436058"/>
    <w:rsid w:val="004409C1"/>
    <w:rsid w:val="00440FE2"/>
    <w:rsid w:val="00442512"/>
    <w:rsid w:val="00447974"/>
    <w:rsid w:val="004526E0"/>
    <w:rsid w:val="004546E5"/>
    <w:rsid w:val="0046123C"/>
    <w:rsid w:val="00465BB6"/>
    <w:rsid w:val="004766B4"/>
    <w:rsid w:val="0048083D"/>
    <w:rsid w:val="00497246"/>
    <w:rsid w:val="004A0B4C"/>
    <w:rsid w:val="004A3689"/>
    <w:rsid w:val="004B3C46"/>
    <w:rsid w:val="004B751C"/>
    <w:rsid w:val="004C235F"/>
    <w:rsid w:val="004C5390"/>
    <w:rsid w:val="004D2112"/>
    <w:rsid w:val="004D285D"/>
    <w:rsid w:val="004D3939"/>
    <w:rsid w:val="004E25D6"/>
    <w:rsid w:val="004F05AF"/>
    <w:rsid w:val="00531D27"/>
    <w:rsid w:val="00532D87"/>
    <w:rsid w:val="0053604C"/>
    <w:rsid w:val="00540F88"/>
    <w:rsid w:val="00547477"/>
    <w:rsid w:val="00553CE6"/>
    <w:rsid w:val="00556BCE"/>
    <w:rsid w:val="0056465E"/>
    <w:rsid w:val="00571FB3"/>
    <w:rsid w:val="005A20D9"/>
    <w:rsid w:val="005B072F"/>
    <w:rsid w:val="005B7C6D"/>
    <w:rsid w:val="005C116D"/>
    <w:rsid w:val="005D384F"/>
    <w:rsid w:val="005D4F56"/>
    <w:rsid w:val="005D5A60"/>
    <w:rsid w:val="005E25C1"/>
    <w:rsid w:val="005E57E1"/>
    <w:rsid w:val="00610974"/>
    <w:rsid w:val="006144F7"/>
    <w:rsid w:val="00620C0C"/>
    <w:rsid w:val="006268C5"/>
    <w:rsid w:val="006329E1"/>
    <w:rsid w:val="00633885"/>
    <w:rsid w:val="00640205"/>
    <w:rsid w:val="00654BFE"/>
    <w:rsid w:val="00661B0D"/>
    <w:rsid w:val="00666C7D"/>
    <w:rsid w:val="006715C1"/>
    <w:rsid w:val="00672DB0"/>
    <w:rsid w:val="00675D89"/>
    <w:rsid w:val="006775AB"/>
    <w:rsid w:val="0068009A"/>
    <w:rsid w:val="0068378A"/>
    <w:rsid w:val="006914B3"/>
    <w:rsid w:val="00691E24"/>
    <w:rsid w:val="006B0B56"/>
    <w:rsid w:val="006B556A"/>
    <w:rsid w:val="006B7081"/>
    <w:rsid w:val="006C0BEE"/>
    <w:rsid w:val="006E6255"/>
    <w:rsid w:val="006F5312"/>
    <w:rsid w:val="0070000E"/>
    <w:rsid w:val="00701FD5"/>
    <w:rsid w:val="00703390"/>
    <w:rsid w:val="00705A76"/>
    <w:rsid w:val="00705E0E"/>
    <w:rsid w:val="00715050"/>
    <w:rsid w:val="007167A6"/>
    <w:rsid w:val="00716839"/>
    <w:rsid w:val="00721A70"/>
    <w:rsid w:val="00725762"/>
    <w:rsid w:val="00726A6D"/>
    <w:rsid w:val="00731D5B"/>
    <w:rsid w:val="007347C9"/>
    <w:rsid w:val="00742042"/>
    <w:rsid w:val="00745741"/>
    <w:rsid w:val="00747AA0"/>
    <w:rsid w:val="00751DF4"/>
    <w:rsid w:val="007579CF"/>
    <w:rsid w:val="00762933"/>
    <w:rsid w:val="007651EE"/>
    <w:rsid w:val="007758EF"/>
    <w:rsid w:val="0077757B"/>
    <w:rsid w:val="00785417"/>
    <w:rsid w:val="00795A1E"/>
    <w:rsid w:val="00797FA1"/>
    <w:rsid w:val="007A7F62"/>
    <w:rsid w:val="007C0422"/>
    <w:rsid w:val="007C0492"/>
    <w:rsid w:val="007C1788"/>
    <w:rsid w:val="007D3668"/>
    <w:rsid w:val="007F095C"/>
    <w:rsid w:val="007F249C"/>
    <w:rsid w:val="007F255F"/>
    <w:rsid w:val="00800F55"/>
    <w:rsid w:val="008109F5"/>
    <w:rsid w:val="00811785"/>
    <w:rsid w:val="00812682"/>
    <w:rsid w:val="00813E27"/>
    <w:rsid w:val="00814D60"/>
    <w:rsid w:val="00816D9B"/>
    <w:rsid w:val="008200AC"/>
    <w:rsid w:val="00821C44"/>
    <w:rsid w:val="00824ABB"/>
    <w:rsid w:val="0086161C"/>
    <w:rsid w:val="008616AF"/>
    <w:rsid w:val="00861ED5"/>
    <w:rsid w:val="00862945"/>
    <w:rsid w:val="00864577"/>
    <w:rsid w:val="00864FB2"/>
    <w:rsid w:val="00870575"/>
    <w:rsid w:val="008719FB"/>
    <w:rsid w:val="00873673"/>
    <w:rsid w:val="00875801"/>
    <w:rsid w:val="00875B2D"/>
    <w:rsid w:val="008815DC"/>
    <w:rsid w:val="00885174"/>
    <w:rsid w:val="008857AD"/>
    <w:rsid w:val="00886074"/>
    <w:rsid w:val="0089176E"/>
    <w:rsid w:val="008A4D18"/>
    <w:rsid w:val="008C53D5"/>
    <w:rsid w:val="008E28FF"/>
    <w:rsid w:val="008E4B23"/>
    <w:rsid w:val="008E68B0"/>
    <w:rsid w:val="009057A7"/>
    <w:rsid w:val="0091396A"/>
    <w:rsid w:val="00920BDA"/>
    <w:rsid w:val="009229EF"/>
    <w:rsid w:val="00924EC0"/>
    <w:rsid w:val="0093142F"/>
    <w:rsid w:val="00931A5F"/>
    <w:rsid w:val="00934F6C"/>
    <w:rsid w:val="0093578F"/>
    <w:rsid w:val="00943120"/>
    <w:rsid w:val="009451D4"/>
    <w:rsid w:val="00947333"/>
    <w:rsid w:val="00953E98"/>
    <w:rsid w:val="00965A35"/>
    <w:rsid w:val="009738E7"/>
    <w:rsid w:val="00980004"/>
    <w:rsid w:val="009815F1"/>
    <w:rsid w:val="00994D8A"/>
    <w:rsid w:val="009A128E"/>
    <w:rsid w:val="009A7037"/>
    <w:rsid w:val="009B5A6E"/>
    <w:rsid w:val="009C2655"/>
    <w:rsid w:val="009D0DC5"/>
    <w:rsid w:val="009D2CCA"/>
    <w:rsid w:val="009D6F8B"/>
    <w:rsid w:val="009E62EB"/>
    <w:rsid w:val="009E6FE3"/>
    <w:rsid w:val="009F04E9"/>
    <w:rsid w:val="00A000BE"/>
    <w:rsid w:val="00A05204"/>
    <w:rsid w:val="00A167B7"/>
    <w:rsid w:val="00A20D32"/>
    <w:rsid w:val="00A243CC"/>
    <w:rsid w:val="00A24D20"/>
    <w:rsid w:val="00A35B16"/>
    <w:rsid w:val="00A40DB8"/>
    <w:rsid w:val="00A516FA"/>
    <w:rsid w:val="00A62C24"/>
    <w:rsid w:val="00A63511"/>
    <w:rsid w:val="00A67623"/>
    <w:rsid w:val="00A70E77"/>
    <w:rsid w:val="00A7734A"/>
    <w:rsid w:val="00A77CC2"/>
    <w:rsid w:val="00A8298D"/>
    <w:rsid w:val="00A87F75"/>
    <w:rsid w:val="00A96FE0"/>
    <w:rsid w:val="00AA0D91"/>
    <w:rsid w:val="00AA663F"/>
    <w:rsid w:val="00AA7F0A"/>
    <w:rsid w:val="00AB06AA"/>
    <w:rsid w:val="00AB5B17"/>
    <w:rsid w:val="00AB6174"/>
    <w:rsid w:val="00AC2C68"/>
    <w:rsid w:val="00AD215A"/>
    <w:rsid w:val="00AD60CE"/>
    <w:rsid w:val="00AF1677"/>
    <w:rsid w:val="00AF730B"/>
    <w:rsid w:val="00B04BC5"/>
    <w:rsid w:val="00B07190"/>
    <w:rsid w:val="00B07333"/>
    <w:rsid w:val="00B22E25"/>
    <w:rsid w:val="00B258CE"/>
    <w:rsid w:val="00B37B0A"/>
    <w:rsid w:val="00B56196"/>
    <w:rsid w:val="00B571B2"/>
    <w:rsid w:val="00B63857"/>
    <w:rsid w:val="00B64EEA"/>
    <w:rsid w:val="00B67961"/>
    <w:rsid w:val="00B811E0"/>
    <w:rsid w:val="00B816BD"/>
    <w:rsid w:val="00B86051"/>
    <w:rsid w:val="00B87781"/>
    <w:rsid w:val="00B917F5"/>
    <w:rsid w:val="00BA3B79"/>
    <w:rsid w:val="00BB6447"/>
    <w:rsid w:val="00BC715E"/>
    <w:rsid w:val="00BD2104"/>
    <w:rsid w:val="00BE3A64"/>
    <w:rsid w:val="00BE6232"/>
    <w:rsid w:val="00C0378A"/>
    <w:rsid w:val="00C1048C"/>
    <w:rsid w:val="00C114F7"/>
    <w:rsid w:val="00C13222"/>
    <w:rsid w:val="00C15862"/>
    <w:rsid w:val="00C21F16"/>
    <w:rsid w:val="00C24301"/>
    <w:rsid w:val="00C4369A"/>
    <w:rsid w:val="00C4576E"/>
    <w:rsid w:val="00C53C40"/>
    <w:rsid w:val="00C60A10"/>
    <w:rsid w:val="00C60F8C"/>
    <w:rsid w:val="00C6141F"/>
    <w:rsid w:val="00C65893"/>
    <w:rsid w:val="00C7116B"/>
    <w:rsid w:val="00C82D51"/>
    <w:rsid w:val="00C96B93"/>
    <w:rsid w:val="00CA6257"/>
    <w:rsid w:val="00CC032E"/>
    <w:rsid w:val="00CC1888"/>
    <w:rsid w:val="00CC4E09"/>
    <w:rsid w:val="00CC6C8D"/>
    <w:rsid w:val="00CC740C"/>
    <w:rsid w:val="00CE0741"/>
    <w:rsid w:val="00CE4665"/>
    <w:rsid w:val="00CF0704"/>
    <w:rsid w:val="00CF1101"/>
    <w:rsid w:val="00CF49E2"/>
    <w:rsid w:val="00D1112E"/>
    <w:rsid w:val="00D14CC6"/>
    <w:rsid w:val="00D15AF0"/>
    <w:rsid w:val="00D34735"/>
    <w:rsid w:val="00D34A4F"/>
    <w:rsid w:val="00D41F5F"/>
    <w:rsid w:val="00D47296"/>
    <w:rsid w:val="00D47D14"/>
    <w:rsid w:val="00D50652"/>
    <w:rsid w:val="00D54E99"/>
    <w:rsid w:val="00D571F5"/>
    <w:rsid w:val="00D61081"/>
    <w:rsid w:val="00D76CB6"/>
    <w:rsid w:val="00D870D4"/>
    <w:rsid w:val="00D90CA1"/>
    <w:rsid w:val="00DA0393"/>
    <w:rsid w:val="00DA5567"/>
    <w:rsid w:val="00DB675E"/>
    <w:rsid w:val="00DC2485"/>
    <w:rsid w:val="00DF4570"/>
    <w:rsid w:val="00DF4A4F"/>
    <w:rsid w:val="00DF5289"/>
    <w:rsid w:val="00DF65F7"/>
    <w:rsid w:val="00E05669"/>
    <w:rsid w:val="00E07D89"/>
    <w:rsid w:val="00E07F7B"/>
    <w:rsid w:val="00E113E1"/>
    <w:rsid w:val="00E16546"/>
    <w:rsid w:val="00E20100"/>
    <w:rsid w:val="00E23938"/>
    <w:rsid w:val="00E279DC"/>
    <w:rsid w:val="00E321E5"/>
    <w:rsid w:val="00E40E29"/>
    <w:rsid w:val="00E44A5A"/>
    <w:rsid w:val="00E471CE"/>
    <w:rsid w:val="00E5278F"/>
    <w:rsid w:val="00E61375"/>
    <w:rsid w:val="00E621DD"/>
    <w:rsid w:val="00E63EE8"/>
    <w:rsid w:val="00E648E4"/>
    <w:rsid w:val="00E651B9"/>
    <w:rsid w:val="00E7195B"/>
    <w:rsid w:val="00E753F4"/>
    <w:rsid w:val="00E7675F"/>
    <w:rsid w:val="00E7741C"/>
    <w:rsid w:val="00E807DB"/>
    <w:rsid w:val="00E80E2F"/>
    <w:rsid w:val="00E85DF6"/>
    <w:rsid w:val="00E95D10"/>
    <w:rsid w:val="00EA2084"/>
    <w:rsid w:val="00EB2600"/>
    <w:rsid w:val="00EB26CD"/>
    <w:rsid w:val="00EE025B"/>
    <w:rsid w:val="00EE04ED"/>
    <w:rsid w:val="00EE10A1"/>
    <w:rsid w:val="00F07016"/>
    <w:rsid w:val="00F14E8F"/>
    <w:rsid w:val="00F14F00"/>
    <w:rsid w:val="00F34F9D"/>
    <w:rsid w:val="00F35026"/>
    <w:rsid w:val="00F46907"/>
    <w:rsid w:val="00F573B5"/>
    <w:rsid w:val="00F66FD7"/>
    <w:rsid w:val="00F71207"/>
    <w:rsid w:val="00F746DA"/>
    <w:rsid w:val="00F815D7"/>
    <w:rsid w:val="00F83FEA"/>
    <w:rsid w:val="00F966ED"/>
    <w:rsid w:val="00F97068"/>
    <w:rsid w:val="00F976CB"/>
    <w:rsid w:val="00FA77A5"/>
    <w:rsid w:val="00FB0779"/>
    <w:rsid w:val="00FB0963"/>
    <w:rsid w:val="00FB143C"/>
    <w:rsid w:val="00FB1F17"/>
    <w:rsid w:val="00FC48B9"/>
    <w:rsid w:val="00FD3D27"/>
    <w:rsid w:val="00FD46AB"/>
    <w:rsid w:val="00FE2319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B2112"/>
  <w15:docId w15:val="{DF45CCF8-1F0D-4DD2-B72C-38DF6796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42F"/>
    <w:rPr>
      <w:rFonts w:ascii="Times New Roman" w:eastAsia="Times New Roman" w:hAnsi="Times New Roman"/>
      <w:sz w:val="24"/>
      <w:szCs w:val="24"/>
      <w:lang w:eastAsia="en-US"/>
    </w:rPr>
  </w:style>
  <w:style w:type="paragraph" w:styleId="4">
    <w:name w:val="heading 4"/>
    <w:basedOn w:val="a"/>
    <w:link w:val="40"/>
    <w:uiPriority w:val="9"/>
    <w:qFormat/>
    <w:rsid w:val="00861ED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2C0"/>
    <w:pPr>
      <w:ind w:left="720"/>
      <w:contextualSpacing/>
    </w:pPr>
    <w:rPr>
      <w:lang w:eastAsia="en-AU"/>
    </w:rPr>
  </w:style>
  <w:style w:type="paragraph" w:styleId="a4">
    <w:name w:val="Balloon Text"/>
    <w:basedOn w:val="a"/>
    <w:link w:val="a5"/>
    <w:uiPriority w:val="99"/>
    <w:semiHidden/>
    <w:unhideWhenUsed/>
    <w:rsid w:val="001E72C0"/>
    <w:rPr>
      <w:rFonts w:ascii="Tahoma" w:hAnsi="Tahoma" w:cs="Tahoma"/>
      <w:sz w:val="16"/>
      <w:szCs w:val="16"/>
    </w:rPr>
  </w:style>
  <w:style w:type="character" w:customStyle="1" w:styleId="a5">
    <w:name w:val="批注框文本 字符"/>
    <w:link w:val="a4"/>
    <w:uiPriority w:val="99"/>
    <w:semiHidden/>
    <w:rsid w:val="001E72C0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150C40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st1">
    <w:name w:val="st1"/>
    <w:rsid w:val="00150C40"/>
  </w:style>
  <w:style w:type="paragraph" w:styleId="HTML">
    <w:name w:val="HTML Preformatted"/>
    <w:basedOn w:val="a"/>
    <w:link w:val="HTML0"/>
    <w:uiPriority w:val="99"/>
    <w:unhideWhenUsed/>
    <w:rsid w:val="000B5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lang w:val="en-US" w:eastAsia="zh-CN"/>
    </w:rPr>
  </w:style>
  <w:style w:type="character" w:customStyle="1" w:styleId="HTML0">
    <w:name w:val="HTML 预设格式 字符"/>
    <w:link w:val="HTML"/>
    <w:uiPriority w:val="99"/>
    <w:rsid w:val="000B5D5D"/>
    <w:rPr>
      <w:rFonts w:ascii="宋体" w:eastAsia="宋体" w:hAnsi="宋体" w:cs="宋体"/>
      <w:sz w:val="24"/>
      <w:szCs w:val="24"/>
      <w:lang w:val="en-US" w:eastAsia="zh-CN"/>
    </w:rPr>
  </w:style>
  <w:style w:type="table" w:styleId="a7">
    <w:name w:val="Table Grid"/>
    <w:basedOn w:val="a1"/>
    <w:uiPriority w:val="59"/>
    <w:rsid w:val="00AF730B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96B93"/>
  </w:style>
  <w:style w:type="character" w:styleId="a8">
    <w:name w:val="Strong"/>
    <w:uiPriority w:val="22"/>
    <w:qFormat/>
    <w:rsid w:val="00C96B93"/>
    <w:rPr>
      <w:b/>
      <w:bCs/>
    </w:rPr>
  </w:style>
  <w:style w:type="character" w:styleId="a9">
    <w:name w:val="FollowedHyperlink"/>
    <w:uiPriority w:val="99"/>
    <w:semiHidden/>
    <w:unhideWhenUsed/>
    <w:rsid w:val="00C96B93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C96B93"/>
    <w:rPr>
      <w:color w:val="605E5C"/>
      <w:shd w:val="clear" w:color="auto" w:fill="E1DFDD"/>
    </w:rPr>
  </w:style>
  <w:style w:type="character" w:styleId="HTML1">
    <w:name w:val="HTML Cite"/>
    <w:uiPriority w:val="99"/>
    <w:unhideWhenUsed/>
    <w:rsid w:val="00E44A5A"/>
    <w:rPr>
      <w:i/>
      <w:iCs/>
    </w:rPr>
  </w:style>
  <w:style w:type="character" w:customStyle="1" w:styleId="ref-journal">
    <w:name w:val="ref-journal"/>
    <w:rsid w:val="0056465E"/>
  </w:style>
  <w:style w:type="character" w:customStyle="1" w:styleId="ref-vol">
    <w:name w:val="ref-vol"/>
    <w:rsid w:val="0056465E"/>
  </w:style>
  <w:style w:type="character" w:customStyle="1" w:styleId="40">
    <w:name w:val="标题 4 字符"/>
    <w:link w:val="4"/>
    <w:uiPriority w:val="9"/>
    <w:rsid w:val="00861ED5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861ED5"/>
    <w:pPr>
      <w:spacing w:before="100" w:beforeAutospacing="1" w:after="100" w:afterAutospacing="1"/>
    </w:pPr>
  </w:style>
  <w:style w:type="numbering" w:customStyle="1" w:styleId="NoList1">
    <w:name w:val="No List1"/>
    <w:next w:val="a2"/>
    <w:uiPriority w:val="99"/>
    <w:semiHidden/>
    <w:unhideWhenUsed/>
    <w:rsid w:val="00107BAA"/>
  </w:style>
  <w:style w:type="table" w:customStyle="1" w:styleId="TableGrid1">
    <w:name w:val="Table Grid1"/>
    <w:basedOn w:val="a1"/>
    <w:next w:val="a7"/>
    <w:uiPriority w:val="59"/>
    <w:rsid w:val="0010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inary-output">
    <w:name w:val="ordinary-output"/>
    <w:basedOn w:val="a"/>
    <w:rsid w:val="00FF2F06"/>
    <w:pPr>
      <w:spacing w:before="100" w:beforeAutospacing="1" w:after="100" w:afterAutospacing="1" w:line="299" w:lineRule="atLeast"/>
    </w:pPr>
    <w:rPr>
      <w:rFonts w:ascii="宋体" w:eastAsia="宋体" w:hAnsi="宋体" w:cs="宋体"/>
      <w:color w:val="333333"/>
      <w:sz w:val="22"/>
      <w:szCs w:val="22"/>
      <w:lang w:val="en-US" w:eastAsia="zh-CN"/>
    </w:rPr>
  </w:style>
  <w:style w:type="paragraph" w:customStyle="1" w:styleId="MDPI13authornames">
    <w:name w:val="MDPI_1.3_authornames"/>
    <w:basedOn w:val="a"/>
    <w:next w:val="MDPI14history"/>
    <w:qFormat/>
    <w:rsid w:val="00531D27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val="en-US" w:eastAsia="de-DE" w:bidi="en-US"/>
    </w:rPr>
  </w:style>
  <w:style w:type="paragraph" w:customStyle="1" w:styleId="MDPI14history">
    <w:name w:val="MDPI_1.4_history"/>
    <w:basedOn w:val="a"/>
    <w:next w:val="a"/>
    <w:qFormat/>
    <w:rsid w:val="00531D27"/>
    <w:pPr>
      <w:adjustRightInd w:val="0"/>
      <w:snapToGrid w:val="0"/>
      <w:spacing w:before="120" w:line="200" w:lineRule="atLeast"/>
      <w:ind w:left="113"/>
    </w:pPr>
    <w:rPr>
      <w:rFonts w:ascii="Palatino Linotype" w:hAnsi="Palatino Linotype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a"/>
    <w:qFormat/>
    <w:rsid w:val="00531D27"/>
    <w:pPr>
      <w:adjustRightInd w:val="0"/>
      <w:snapToGrid w:val="0"/>
      <w:spacing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val="en-US" w:eastAsia="de-DE" w:bidi="en-US"/>
    </w:rPr>
  </w:style>
  <w:style w:type="character" w:customStyle="1" w:styleId="name">
    <w:name w:val="name"/>
    <w:basedOn w:val="a0"/>
    <w:rsid w:val="00AA7F0A"/>
  </w:style>
  <w:style w:type="character" w:customStyle="1" w:styleId="authorship">
    <w:name w:val="authorship"/>
    <w:basedOn w:val="a0"/>
    <w:rsid w:val="00AA7F0A"/>
  </w:style>
  <w:style w:type="paragraph" w:customStyle="1" w:styleId="EndNoteBibliographyTitle">
    <w:name w:val="EndNote Bibliography Title"/>
    <w:basedOn w:val="a"/>
    <w:link w:val="EndNoteBibliographyTitleChar"/>
    <w:rsid w:val="005B7C6D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a0"/>
    <w:link w:val="EndNoteBibliographyTitle"/>
    <w:rsid w:val="005B7C6D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a"/>
    <w:link w:val="EndNoteBibliographyChar"/>
    <w:rsid w:val="005B7C6D"/>
    <w:rPr>
      <w:noProof/>
      <w:lang w:val="en-US"/>
    </w:rPr>
  </w:style>
  <w:style w:type="character" w:customStyle="1" w:styleId="EndNoteBibliographyChar">
    <w:name w:val="EndNote Bibliography Char"/>
    <w:basedOn w:val="a0"/>
    <w:link w:val="EndNoteBibliography"/>
    <w:rsid w:val="005B7C6D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MDPI62Acknowledgments">
    <w:name w:val="MDPI_6.2_Acknowledgments"/>
    <w:qFormat/>
    <w:rsid w:val="004D2112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  <w:style w:type="paragraph" w:styleId="ab">
    <w:name w:val="header"/>
    <w:basedOn w:val="a"/>
    <w:link w:val="ac"/>
    <w:uiPriority w:val="99"/>
    <w:unhideWhenUsed/>
    <w:rsid w:val="00E65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E651B9"/>
    <w:rPr>
      <w:rFonts w:ascii="Times New Roman" w:eastAsia="Times New Roman" w:hAnsi="Times New Roman"/>
      <w:sz w:val="18"/>
      <w:szCs w:val="18"/>
      <w:lang w:eastAsia="en-US"/>
    </w:rPr>
  </w:style>
  <w:style w:type="paragraph" w:styleId="ad">
    <w:name w:val="footer"/>
    <w:basedOn w:val="a"/>
    <w:link w:val="ae"/>
    <w:uiPriority w:val="99"/>
    <w:unhideWhenUsed/>
    <w:rsid w:val="00E651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E651B9"/>
    <w:rPr>
      <w:rFonts w:ascii="Times New Roman" w:eastAsia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14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57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8999</CharactersWithSpaces>
  <SharedDoc>false</SharedDoc>
  <HLinks>
    <vt:vector size="42" baseType="variant">
      <vt:variant>
        <vt:i4>4587624</vt:i4>
      </vt:variant>
      <vt:variant>
        <vt:i4>24</vt:i4>
      </vt:variant>
      <vt:variant>
        <vt:i4>0</vt:i4>
      </vt:variant>
      <vt:variant>
        <vt:i4>5</vt:i4>
      </vt:variant>
      <vt:variant>
        <vt:lpwstr>https://ginasthma.org/wp-content/uploads/2018/04/wms-GINA-2018-report-tracked_v1.3.pdf</vt:lpwstr>
      </vt:variant>
      <vt:variant>
        <vt:lpwstr/>
      </vt:variant>
      <vt:variant>
        <vt:i4>8060964</vt:i4>
      </vt:variant>
      <vt:variant>
        <vt:i4>15</vt:i4>
      </vt:variant>
      <vt:variant>
        <vt:i4>0</vt:i4>
      </vt:variant>
      <vt:variant>
        <vt:i4>5</vt:i4>
      </vt:variant>
      <vt:variant>
        <vt:lpwstr>javascript:OpenPopUpGeneral('http://ees.elsevier.com/jep/DotNetPopUps/ViewClassificationDetails.aspx?classcid=744&amp;showNum=1','744','scrollbars=yes,resizable=yes,menubar=no,toolbar=no,width=800,height=400,top=50,left=50',false)</vt:lpwstr>
      </vt:variant>
      <vt:variant>
        <vt:lpwstr/>
      </vt:variant>
      <vt:variant>
        <vt:i4>8060964</vt:i4>
      </vt:variant>
      <vt:variant>
        <vt:i4>12</vt:i4>
      </vt:variant>
      <vt:variant>
        <vt:i4>0</vt:i4>
      </vt:variant>
      <vt:variant>
        <vt:i4>5</vt:i4>
      </vt:variant>
      <vt:variant>
        <vt:lpwstr>javascript:OpenPopUpGeneral('http://ees.elsevier.com/jep/DotNetPopUps/ViewClassificationDetails.aspx?classcid=903&amp;showNum=1','903','scrollbars=yes,resizable=yes,menubar=no,toolbar=no,width=800,height=400,top=50,left=50',false)</vt:lpwstr>
      </vt:variant>
      <vt:variant>
        <vt:lpwstr/>
      </vt:variant>
      <vt:variant>
        <vt:i4>8060964</vt:i4>
      </vt:variant>
      <vt:variant>
        <vt:i4>9</vt:i4>
      </vt:variant>
      <vt:variant>
        <vt:i4>0</vt:i4>
      </vt:variant>
      <vt:variant>
        <vt:i4>5</vt:i4>
      </vt:variant>
      <vt:variant>
        <vt:lpwstr>javascript:OpenPopUpGeneral('http://ees.elsevier.com/jep/DotNetPopUps/ViewClassificationDetails.aspx?classcid=635&amp;showNum=1','635','scrollbars=yes,resizable=yes,menubar=no,toolbar=no,width=800,height=400,top=50,left=50',false)</vt:lpwstr>
      </vt:variant>
      <vt:variant>
        <vt:lpwstr/>
      </vt:variant>
      <vt:variant>
        <vt:i4>8060964</vt:i4>
      </vt:variant>
      <vt:variant>
        <vt:i4>6</vt:i4>
      </vt:variant>
      <vt:variant>
        <vt:i4>0</vt:i4>
      </vt:variant>
      <vt:variant>
        <vt:i4>5</vt:i4>
      </vt:variant>
      <vt:variant>
        <vt:lpwstr>javascript:OpenPopUpGeneral('http://ees.elsevier.com/jep/DotNetPopUps/ViewClassificationDetails.aspx?classcid=714&amp;showNum=1','714','scrollbars=yes,resizable=yes,menubar=no,toolbar=no,width=800,height=400,top=50,left=50',false)</vt:lpwstr>
      </vt:variant>
      <vt:variant>
        <vt:lpwstr/>
      </vt:variant>
      <vt:variant>
        <vt:i4>8060964</vt:i4>
      </vt:variant>
      <vt:variant>
        <vt:i4>3</vt:i4>
      </vt:variant>
      <vt:variant>
        <vt:i4>0</vt:i4>
      </vt:variant>
      <vt:variant>
        <vt:i4>5</vt:i4>
      </vt:variant>
      <vt:variant>
        <vt:lpwstr>javascript:OpenPopUpGeneral('http://ees.elsevier.com/jep/DotNetPopUps/ViewClassificationDetails.aspx?classcid=828&amp;showNum=1','828','scrollbars=yes,resizable=yes,menubar=no,toolbar=no,width=800,height=400,top=50,left=50',false)</vt:lpwstr>
      </vt:variant>
      <vt:variant>
        <vt:lpwstr/>
      </vt:variant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javascript:OpenPopUpGeneral('http://ees.elsevier.com/jep/DotNetPopUps/ViewClassificationDetails.aspx?classcid=831&amp;showNum=1','831','scrollbars=yes,resizable=yes,menubar=no,toolbar=no,width=800,height=400,top=50,left=50',false)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Angela Yang</cp:lastModifiedBy>
  <cp:revision>6</cp:revision>
  <dcterms:created xsi:type="dcterms:W3CDTF">2019-09-06T23:12:00Z</dcterms:created>
  <dcterms:modified xsi:type="dcterms:W3CDTF">2020-01-22T02:04:00Z</dcterms:modified>
</cp:coreProperties>
</file>