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W w:w="8522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6326"/>
        <w:gridCol w:w="670"/>
        <w:gridCol w:w="680"/>
        <w:gridCol w:w="84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2" w:hRule="atLeast"/>
        </w:trPr>
        <w:tc>
          <w:tcPr>
            <w:tcW w:w="6326" w:type="dxa"/>
            <w:tcBorders>
              <w:tl2br w:val="nil"/>
              <w:tr2bl w:val="nil"/>
            </w:tcBorders>
          </w:tcPr>
          <w:p>
            <w:pPr>
              <w:ind w:firstLine="3313" w:firstLineChars="1500"/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</w:rPr>
              <w:t>Terms</w:t>
            </w:r>
          </w:p>
        </w:tc>
        <w:tc>
          <w:tcPr>
            <w:tcW w:w="670" w:type="dxa"/>
            <w:tcBorders>
              <w:tl2br w:val="nil"/>
              <w:tr2bl w:val="nil"/>
            </w:tcBorders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</w:rPr>
              <w:t>ES</w:t>
            </w:r>
          </w:p>
        </w:tc>
        <w:tc>
          <w:tcPr>
            <w:tcW w:w="680" w:type="dxa"/>
            <w:tcBorders>
              <w:tl2br w:val="nil"/>
              <w:tr2bl w:val="nil"/>
            </w:tcBorders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</w:rPr>
              <w:t>NES</w:t>
            </w:r>
          </w:p>
        </w:tc>
        <w:tc>
          <w:tcPr>
            <w:tcW w:w="846" w:type="dxa"/>
            <w:tcBorders>
              <w:tl2br w:val="nil"/>
              <w:tr2bl w:val="nil"/>
            </w:tcBorders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</w:rPr>
              <w:t>NOM-p-val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326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GO  LYMPHOCYTE  MIGRATION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 xml:space="preserve">GO  HUMORAL  IMMUNE  RESPONSE  MEDIATED  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BY  CIRCULATING  IMMUNOGLOBULIN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GO  LYMPHOCYTE  CHEMOTAXIS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GO  LYMPHOCYTE  MEDIATED  IMMUNITY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GO  ANTIGEN  BINDING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GO  CCR  CHEMOKINE  RECEPTOR  BINDING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GO  ADAPTIVE  IMMUNE  RESPONSE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 xml:space="preserve">GO  ADAPTIVE  IMMUNE  RESPONSE  BASED  ON  SOMATIC  RECOMBINATION  OF  IMMUNE  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RECEPTORS  BUILT  FROM  IMMUNOGLOBULIN  SUPERFAMILY  DOMAINS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GO  PEPTIDE  ANTIGEN  BINDING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GO  B  CELL  MEDIATED  IMMUNITY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 xml:space="preserve">GO  CELLULAR  RESPONSE  TO  INTERFERON  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GAMMA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GO  PROTEIN  ACTIVATION  CASCADE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GO  B  CELL  RECEPTOR  SIGNALING  PATHWAY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GO  REGULATION  OF  GLIOGENESIS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GO  DENDRITIC  CELL  MIGRATION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GO  COMPLEMENT  ACTIVATION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GO  REGULATION  OF  ACUTE  INFLAMMATORY  RESPONSE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 xml:space="preserve">GO  REGULATION  OF  LEUKOCYTE  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PROLIFERATION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GO  REGULATION  OF  VASCULAR  ENDOTHELIAL  GROWTH  FACTOR  PRODUCTION</w:t>
            </w:r>
          </w:p>
          <w:p>
            <w:pPr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GO  REGULATION  OF  PROTEIN  ACTIVATION  CASCADE</w:t>
            </w:r>
          </w:p>
        </w:tc>
        <w:tc>
          <w:tcPr>
            <w:tcW w:w="670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0.8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0.81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0.81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0.64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0.7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0.8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0.6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0.66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0.79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0.7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0.61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0.7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0.76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0.6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0.87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0.77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0.63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0.54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0.79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  <w:p>
            <w:pPr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0.76</w:t>
            </w:r>
          </w:p>
        </w:tc>
        <w:tc>
          <w:tcPr>
            <w:tcW w:w="680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2.47</w:t>
            </w:r>
          </w:p>
          <w:p>
            <w:pPr>
              <w:rPr>
                <w:rFonts w:hint="eastAsia" w:ascii="Times New Roman" w:hAnsi="Times New Roman" w:cs="Times New Roman" w:eastAsia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2.4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2.36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2.35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2.34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2.34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2.33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2.32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2.24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2.22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2.21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2.2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2.18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2.18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2.17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2.17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2.17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2.15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2.15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  <w:p>
            <w:pPr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2.14</w:t>
            </w:r>
          </w:p>
        </w:tc>
        <w:tc>
          <w:tcPr>
            <w:tcW w:w="846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0.000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0.000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0.000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0.000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0.000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0.000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0.000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0.000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0.000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0.000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0.000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0.000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0.000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0.000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0.000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0.000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0.000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0.000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0.000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  <w:p>
            <w:pPr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0.000</w:t>
            </w:r>
          </w:p>
        </w:tc>
      </w:tr>
    </w:tbl>
    <w:p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 xml:space="preserve">Supplymental </w:t>
      </w:r>
      <w:r>
        <w:rPr>
          <w:rFonts w:hint="eastAsia" w:ascii="Times New Roman" w:hAnsi="Times New Roman" w:cs="Times New Roman"/>
          <w:b/>
          <w:sz w:val="24"/>
          <w:szCs w:val="24"/>
        </w:rPr>
        <w:t>Table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 xml:space="preserve"> S3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Arial" w:hAnsi="Arial" w:cs="Arial"/>
          <w:color w:val="1C1D1E"/>
          <w:shd w:val="clear" w:color="auto" w:fill="FFFFFF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Top 20</w:t>
      </w:r>
      <w:r>
        <w:rPr>
          <w:rFonts w:ascii="Times New Roman" w:hAnsi="Times New Roman" w:cs="Times New Roman"/>
          <w:sz w:val="24"/>
          <w:szCs w:val="24"/>
        </w:rPr>
        <w:t xml:space="preserve"> significant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GO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pathways enriched by DEGs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in GSEA</w:t>
      </w:r>
      <w:r>
        <w:rPr>
          <w:rFonts w:hint="eastAsia"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CF0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BE6162"/>
    <w:rsid w:val="66660809"/>
    <w:rsid w:val="6D65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2019-07-12T01:58:36Z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