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69DF" w14:textId="77777777" w:rsidR="00481614" w:rsidRPr="00EB745D" w:rsidRDefault="005770B9" w:rsidP="00481614">
      <w:pPr>
        <w:pStyle w:val="Heading4"/>
        <w:tabs>
          <w:tab w:val="left" w:pos="719"/>
          <w:tab w:val="left" w:pos="720"/>
        </w:tabs>
        <w:ind w:left="0" w:firstLine="0"/>
        <w:jc w:val="both"/>
        <w:rPr>
          <w:rFonts w:ascii="Times New Roman" w:hAnsi="Times New Roman" w:cs="Times New Roman"/>
        </w:rPr>
      </w:pPr>
      <w:r>
        <w:rPr>
          <w:b w:val="0"/>
        </w:rPr>
        <w:t xml:space="preserve">Supplement 1. </w:t>
      </w:r>
      <w:r w:rsidR="00481614">
        <w:rPr>
          <w:b w:val="0"/>
        </w:rPr>
        <w:t xml:space="preserve"> </w:t>
      </w:r>
      <w:r w:rsidR="00481614" w:rsidRPr="00EB745D">
        <w:rPr>
          <w:rFonts w:ascii="Times New Roman" w:hAnsi="Times New Roman" w:cs="Times New Roman"/>
        </w:rPr>
        <w:t>Direct</w:t>
      </w:r>
      <w:r w:rsidR="00481614" w:rsidRPr="00EB745D">
        <w:rPr>
          <w:rFonts w:ascii="Times New Roman" w:hAnsi="Times New Roman" w:cs="Times New Roman"/>
          <w:spacing w:val="7"/>
        </w:rPr>
        <w:t xml:space="preserve"> </w:t>
      </w:r>
      <w:r w:rsidR="00481614" w:rsidRPr="00EB745D">
        <w:rPr>
          <w:rFonts w:ascii="Times New Roman" w:hAnsi="Times New Roman" w:cs="Times New Roman"/>
        </w:rPr>
        <w:t>Measurement</w:t>
      </w:r>
      <w:r w:rsidR="00481614" w:rsidRPr="00EB745D">
        <w:rPr>
          <w:rFonts w:ascii="Times New Roman" w:hAnsi="Times New Roman" w:cs="Times New Roman"/>
          <w:spacing w:val="7"/>
        </w:rPr>
        <w:t xml:space="preserve"> </w:t>
      </w:r>
      <w:r w:rsidR="00481614">
        <w:rPr>
          <w:rFonts w:ascii="Times New Roman" w:hAnsi="Times New Roman" w:cs="Times New Roman"/>
        </w:rPr>
        <w:t>Forest Carbon Protocol</w:t>
      </w:r>
      <w:r w:rsidR="00481614" w:rsidRPr="00EB745D">
        <w:rPr>
          <w:rFonts w:ascii="Times New Roman" w:hAnsi="Times New Roman" w:cs="Times New Roman"/>
        </w:rPr>
        <w:t>:</w:t>
      </w:r>
      <w:r w:rsidR="00481614" w:rsidRPr="00EB745D">
        <w:rPr>
          <w:rFonts w:ascii="Times New Roman" w:hAnsi="Times New Roman" w:cs="Times New Roman"/>
          <w:spacing w:val="7"/>
        </w:rPr>
        <w:t xml:space="preserve"> </w:t>
      </w:r>
      <w:r w:rsidR="00481614" w:rsidRPr="00EB745D">
        <w:rPr>
          <w:rFonts w:ascii="Times New Roman" w:hAnsi="Times New Roman" w:cs="Times New Roman"/>
        </w:rPr>
        <w:t>A</w:t>
      </w:r>
      <w:r w:rsidR="00481614" w:rsidRPr="00EB745D">
        <w:rPr>
          <w:rFonts w:ascii="Times New Roman" w:hAnsi="Times New Roman" w:cs="Times New Roman"/>
          <w:spacing w:val="7"/>
        </w:rPr>
        <w:t xml:space="preserve"> </w:t>
      </w:r>
      <w:r w:rsidR="00481614" w:rsidRPr="00EB745D">
        <w:rPr>
          <w:rFonts w:ascii="Times New Roman" w:hAnsi="Times New Roman" w:cs="Times New Roman"/>
        </w:rPr>
        <w:t>Commercial</w:t>
      </w:r>
      <w:r w:rsidR="00481614" w:rsidRPr="00EB745D">
        <w:rPr>
          <w:rFonts w:ascii="Times New Roman" w:hAnsi="Times New Roman" w:cs="Times New Roman"/>
          <w:spacing w:val="7"/>
        </w:rPr>
        <w:t xml:space="preserve"> </w:t>
      </w:r>
      <w:r w:rsidR="00481614" w:rsidRPr="00EB745D">
        <w:rPr>
          <w:rFonts w:ascii="Times New Roman" w:hAnsi="Times New Roman" w:cs="Times New Roman"/>
        </w:rPr>
        <w:t>System-of-Systems</w:t>
      </w:r>
      <w:r w:rsidR="00481614" w:rsidRPr="00EB745D">
        <w:rPr>
          <w:rFonts w:ascii="Times New Roman" w:hAnsi="Times New Roman" w:cs="Times New Roman"/>
          <w:spacing w:val="7"/>
        </w:rPr>
        <w:t xml:space="preserve"> </w:t>
      </w:r>
      <w:r w:rsidR="00481614" w:rsidRPr="00EB745D">
        <w:rPr>
          <w:rFonts w:ascii="Times New Roman" w:hAnsi="Times New Roman" w:cs="Times New Roman"/>
        </w:rPr>
        <w:t>to</w:t>
      </w:r>
      <w:r w:rsidR="00481614" w:rsidRPr="00EB745D">
        <w:rPr>
          <w:rFonts w:ascii="Times New Roman" w:hAnsi="Times New Roman" w:cs="Times New Roman"/>
          <w:spacing w:val="7"/>
        </w:rPr>
        <w:t xml:space="preserve"> </w:t>
      </w:r>
      <w:r w:rsidR="00481614" w:rsidRPr="00EB745D">
        <w:rPr>
          <w:rFonts w:ascii="Times New Roman" w:hAnsi="Times New Roman" w:cs="Times New Roman"/>
        </w:rPr>
        <w:t>Incentivize</w:t>
      </w:r>
    </w:p>
    <w:p w14:paraId="79A750CB" w14:textId="4D376701" w:rsidR="005770B9" w:rsidRPr="00F84A87" w:rsidRDefault="00481614" w:rsidP="00481614">
      <w:pPr>
        <w:spacing w:before="55"/>
        <w:jc w:val="both"/>
        <w:rPr>
          <w:b/>
          <w:sz w:val="20"/>
          <w:szCs w:val="20"/>
        </w:rPr>
      </w:pPr>
      <w:r w:rsidRPr="00EB745D">
        <w:rPr>
          <w:b/>
          <w:sz w:val="20"/>
          <w:szCs w:val="20"/>
        </w:rPr>
        <w:t>Forest Restoration and</w:t>
      </w:r>
      <w:r w:rsidRPr="00EB745D">
        <w:rPr>
          <w:b/>
          <w:spacing w:val="-3"/>
          <w:sz w:val="20"/>
          <w:szCs w:val="20"/>
        </w:rPr>
        <w:t xml:space="preserve"> </w:t>
      </w:r>
      <w:r w:rsidRPr="00EB745D">
        <w:rPr>
          <w:b/>
          <w:sz w:val="20"/>
          <w:szCs w:val="20"/>
        </w:rPr>
        <w:t>Management</w:t>
      </w:r>
    </w:p>
    <w:p w14:paraId="22D37A4D" w14:textId="77777777" w:rsidR="005770B9" w:rsidRPr="00EB745D" w:rsidRDefault="005770B9" w:rsidP="005770B9">
      <w:pPr>
        <w:pStyle w:val="BodyText"/>
        <w:spacing w:before="10"/>
        <w:ind w:left="0"/>
        <w:jc w:val="both"/>
        <w:rPr>
          <w:rFonts w:ascii="Times New Roman" w:hAnsi="Times New Roman" w:cs="Times New Roman"/>
          <w:b/>
        </w:rPr>
      </w:pPr>
    </w:p>
    <w:p w14:paraId="2607ADDF" w14:textId="77777777" w:rsidR="005770B9" w:rsidRPr="00EB745D" w:rsidRDefault="005770B9" w:rsidP="005770B9">
      <w:pPr>
        <w:pStyle w:val="BodyText"/>
        <w:ind w:left="0"/>
        <w:jc w:val="both"/>
        <w:rPr>
          <w:rFonts w:ascii="Times New Roman" w:hAnsi="Times New Roman" w:cs="Times New Roman"/>
          <w:color w:val="FF0000"/>
        </w:rPr>
      </w:pPr>
      <w:r w:rsidRPr="00EB745D">
        <w:rPr>
          <w:rFonts w:ascii="Times New Roman" w:hAnsi="Times New Roman" w:cs="Times New Roman"/>
          <w:u w:val="single"/>
        </w:rPr>
        <w:t>System-of-Systems</w:t>
      </w:r>
      <w:r w:rsidRPr="00EB745D">
        <w:rPr>
          <w:rFonts w:ascii="Times New Roman" w:hAnsi="Times New Roman" w:cs="Times New Roman"/>
        </w:rPr>
        <w:t>. Figure 1 shows an SoS sensor network as the central feature of the DMFCP. The SoS   integrates GMP's deployed across the project landscape and operates according to the DMFCP. The SoS  operation is supported by system operators, calibration analysts and mission data analysts responsive to environmental, regulatory and financial scenarios. The GMP functions are carried out and integrated by  central reference, command  and  control  and  data  processing  facilities  hosted  remotely.  A data communication and management subsystem (DCMS) controls data content of the SoS. The DCMS gathers  real-time data from the GMP’s and related sensors of the SoS, including analytical uncertainties across processes, in a central location where the data are qualified, analyzed and archived. The DCMS provides data to model analysts to calculate absolute carbon  sequestration and utilize applicable carbon sequestration models including carbon isotopes (Davidson et al., 2016; Wang et al., 2016) to characterize the spatial and temporal components of carbon sequestration across the project landscape. The DCMS provides secure digital access to data, charts, figures and images resulting from the  project reporting on physical, project, financial and registered carbon. The underlying research data files  may also  be  accessible  as  authorized  through  the  DCMS.  The benefits  of  a  comprehensive  data  management system include harmonization of processes across all sensor nodes, ensuring data integrity, storage and security resulting in reduced risks for  all</w:t>
      </w:r>
      <w:r w:rsidRPr="00EB745D">
        <w:rPr>
          <w:rFonts w:ascii="Times New Roman" w:hAnsi="Times New Roman" w:cs="Times New Roman"/>
          <w:spacing w:val="-16"/>
        </w:rPr>
        <w:t xml:space="preserve"> </w:t>
      </w:r>
      <w:r w:rsidRPr="00EB745D">
        <w:rPr>
          <w:rFonts w:ascii="Times New Roman" w:hAnsi="Times New Roman" w:cs="Times New Roman"/>
        </w:rPr>
        <w:t xml:space="preserve">stakeholders. </w:t>
      </w:r>
    </w:p>
    <w:p w14:paraId="0FA60BF2" w14:textId="77777777" w:rsidR="005770B9" w:rsidRPr="00EB745D" w:rsidRDefault="005770B9" w:rsidP="005770B9">
      <w:pPr>
        <w:pStyle w:val="BodyText"/>
        <w:spacing w:before="11"/>
        <w:ind w:left="0"/>
        <w:jc w:val="both"/>
        <w:rPr>
          <w:rFonts w:ascii="Times New Roman" w:hAnsi="Times New Roman" w:cs="Times New Roman"/>
        </w:rPr>
      </w:pPr>
    </w:p>
    <w:p w14:paraId="702504C6" w14:textId="77777777" w:rsidR="005770B9" w:rsidRPr="00EB745D" w:rsidRDefault="005770B9" w:rsidP="005770B9">
      <w:pPr>
        <w:pStyle w:val="BodyText"/>
        <w:ind w:left="0"/>
        <w:jc w:val="both"/>
        <w:rPr>
          <w:rFonts w:ascii="Times New Roman" w:hAnsi="Times New Roman" w:cs="Times New Roman"/>
        </w:rPr>
      </w:pPr>
      <w:r w:rsidRPr="00EB745D">
        <w:rPr>
          <w:rFonts w:ascii="Times New Roman" w:hAnsi="Times New Roman" w:cs="Times New Roman"/>
          <w:u w:val="single"/>
        </w:rPr>
        <w:t>The Global Monitoring Platform</w:t>
      </w:r>
      <w:r w:rsidRPr="00EB745D">
        <w:rPr>
          <w:rFonts w:ascii="Times New Roman" w:hAnsi="Times New Roman" w:cs="Times New Roman"/>
        </w:rPr>
        <w:t>. The GMP of the DMFCP integrates commercial off-the-shelf gas</w:t>
      </w:r>
    </w:p>
    <w:p w14:paraId="5735132B" w14:textId="77777777" w:rsidR="005770B9" w:rsidRPr="000C0BD6" w:rsidRDefault="005770B9" w:rsidP="005770B9">
      <w:pPr>
        <w:jc w:val="both"/>
      </w:pPr>
      <w:r w:rsidRPr="00F84A87">
        <w:rPr>
          <w:sz w:val="20"/>
          <w:szCs w:val="20"/>
        </w:rPr>
        <w:t xml:space="preserve">analyzers (e.g., </w:t>
      </w:r>
      <w:r w:rsidRPr="00EB745D">
        <w:rPr>
          <w:position w:val="6"/>
          <w:sz w:val="20"/>
          <w:szCs w:val="20"/>
        </w:rPr>
        <w:t>12</w:t>
      </w:r>
      <w:r w:rsidRPr="00F84A87">
        <w:rPr>
          <w:sz w:val="20"/>
          <w:szCs w:val="20"/>
        </w:rPr>
        <w:t>C</w:t>
      </w:r>
      <w:r w:rsidRPr="00EB745D">
        <w:rPr>
          <w:position w:val="6"/>
          <w:sz w:val="20"/>
          <w:szCs w:val="20"/>
        </w:rPr>
        <w:t>16</w:t>
      </w:r>
      <w:r w:rsidRPr="00F84A87">
        <w:rPr>
          <w:sz w:val="20"/>
          <w:szCs w:val="20"/>
        </w:rPr>
        <w:t>O</w:t>
      </w:r>
      <w:r w:rsidRPr="00F84A87">
        <w:rPr>
          <w:sz w:val="20"/>
          <w:szCs w:val="20"/>
          <w:vertAlign w:val="subscript"/>
        </w:rPr>
        <w:t>2</w:t>
      </w:r>
      <w:r w:rsidRPr="00F84A87">
        <w:rPr>
          <w:sz w:val="20"/>
          <w:szCs w:val="20"/>
        </w:rPr>
        <w:t xml:space="preserve">, </w:t>
      </w:r>
      <w:r w:rsidRPr="00EB745D">
        <w:rPr>
          <w:position w:val="6"/>
          <w:sz w:val="20"/>
          <w:szCs w:val="20"/>
        </w:rPr>
        <w:t>16</w:t>
      </w:r>
      <w:r w:rsidRPr="00F84A87">
        <w:rPr>
          <w:sz w:val="20"/>
          <w:szCs w:val="20"/>
        </w:rPr>
        <w:t>O</w:t>
      </w:r>
      <w:r w:rsidRPr="00EB745D">
        <w:rPr>
          <w:position w:val="6"/>
          <w:sz w:val="20"/>
          <w:szCs w:val="20"/>
        </w:rPr>
        <w:t>12</w:t>
      </w:r>
      <w:r w:rsidRPr="00F84A87">
        <w:rPr>
          <w:sz w:val="20"/>
          <w:szCs w:val="20"/>
        </w:rPr>
        <w:t>C</w:t>
      </w:r>
      <w:r w:rsidRPr="00EB745D">
        <w:rPr>
          <w:position w:val="6"/>
          <w:sz w:val="20"/>
          <w:szCs w:val="20"/>
        </w:rPr>
        <w:t>18</w:t>
      </w:r>
      <w:r w:rsidRPr="00F84A87">
        <w:rPr>
          <w:sz w:val="20"/>
          <w:szCs w:val="20"/>
        </w:rPr>
        <w:t xml:space="preserve">O, </w:t>
      </w:r>
      <w:r w:rsidRPr="00EB745D">
        <w:rPr>
          <w:position w:val="6"/>
          <w:sz w:val="20"/>
          <w:szCs w:val="20"/>
        </w:rPr>
        <w:t>13</w:t>
      </w:r>
      <w:r w:rsidRPr="00F84A87">
        <w:rPr>
          <w:sz w:val="20"/>
          <w:szCs w:val="20"/>
        </w:rPr>
        <w:t>C</w:t>
      </w:r>
      <w:r w:rsidRPr="00EB745D">
        <w:rPr>
          <w:position w:val="6"/>
          <w:sz w:val="20"/>
          <w:szCs w:val="20"/>
        </w:rPr>
        <w:t>16</w:t>
      </w:r>
      <w:r w:rsidRPr="00F84A87">
        <w:rPr>
          <w:sz w:val="20"/>
          <w:szCs w:val="20"/>
        </w:rPr>
        <w:t>O</w:t>
      </w:r>
      <w:r w:rsidRPr="00F84A87">
        <w:rPr>
          <w:sz w:val="20"/>
          <w:szCs w:val="20"/>
          <w:vertAlign w:val="subscript"/>
        </w:rPr>
        <w:t>2</w:t>
      </w:r>
      <w:r w:rsidRPr="00F84A87">
        <w:rPr>
          <w:sz w:val="20"/>
          <w:szCs w:val="20"/>
        </w:rPr>
        <w:t xml:space="preserve">, </w:t>
      </w:r>
      <w:r w:rsidRPr="00EB745D">
        <w:rPr>
          <w:position w:val="6"/>
          <w:sz w:val="20"/>
          <w:szCs w:val="20"/>
        </w:rPr>
        <w:t>12</w:t>
      </w:r>
      <w:r w:rsidRPr="00F84A87">
        <w:rPr>
          <w:sz w:val="20"/>
          <w:szCs w:val="20"/>
        </w:rPr>
        <w:t>CH</w:t>
      </w:r>
      <w:r w:rsidRPr="00F84A87">
        <w:rPr>
          <w:sz w:val="20"/>
          <w:szCs w:val="20"/>
          <w:vertAlign w:val="subscript"/>
        </w:rPr>
        <w:t>4</w:t>
      </w:r>
      <w:r w:rsidRPr="00F84A87">
        <w:rPr>
          <w:sz w:val="20"/>
          <w:szCs w:val="20"/>
        </w:rPr>
        <w:t xml:space="preserve">, </w:t>
      </w:r>
      <w:r w:rsidRPr="00EB745D">
        <w:rPr>
          <w:position w:val="6"/>
          <w:sz w:val="20"/>
          <w:szCs w:val="20"/>
        </w:rPr>
        <w:t>13</w:t>
      </w:r>
      <w:r w:rsidRPr="00F84A87">
        <w:rPr>
          <w:sz w:val="20"/>
          <w:szCs w:val="20"/>
        </w:rPr>
        <w:t>CH</w:t>
      </w:r>
      <w:r w:rsidRPr="00F84A87">
        <w:rPr>
          <w:sz w:val="20"/>
          <w:szCs w:val="20"/>
          <w:vertAlign w:val="subscript"/>
        </w:rPr>
        <w:t>4</w:t>
      </w:r>
      <w:r w:rsidRPr="00F84A87">
        <w:rPr>
          <w:sz w:val="20"/>
          <w:szCs w:val="20"/>
        </w:rPr>
        <w:t xml:space="preserve">, </w:t>
      </w:r>
      <w:r w:rsidRPr="00EB745D">
        <w:rPr>
          <w:position w:val="6"/>
          <w:sz w:val="20"/>
          <w:szCs w:val="20"/>
        </w:rPr>
        <w:t>14</w:t>
      </w:r>
      <w:r w:rsidRPr="00F84A87">
        <w:rPr>
          <w:sz w:val="20"/>
          <w:szCs w:val="20"/>
        </w:rPr>
        <w:t>N</w:t>
      </w:r>
      <w:r w:rsidRPr="00F84A87">
        <w:rPr>
          <w:sz w:val="20"/>
          <w:szCs w:val="20"/>
          <w:vertAlign w:val="subscript"/>
        </w:rPr>
        <w:t>2</w:t>
      </w:r>
      <w:r w:rsidRPr="00EB745D">
        <w:rPr>
          <w:position w:val="6"/>
          <w:sz w:val="20"/>
          <w:szCs w:val="20"/>
        </w:rPr>
        <w:t>16</w:t>
      </w:r>
      <w:r w:rsidRPr="00F84A87">
        <w:rPr>
          <w:sz w:val="20"/>
          <w:szCs w:val="20"/>
        </w:rPr>
        <w:t xml:space="preserve">O, </w:t>
      </w:r>
      <w:r w:rsidRPr="00EB745D">
        <w:rPr>
          <w:position w:val="6"/>
          <w:sz w:val="20"/>
          <w:szCs w:val="20"/>
        </w:rPr>
        <w:t>15</w:t>
      </w:r>
      <w:r w:rsidRPr="00F84A87">
        <w:rPr>
          <w:sz w:val="20"/>
          <w:szCs w:val="20"/>
        </w:rPr>
        <w:t>N</w:t>
      </w:r>
      <w:r w:rsidRPr="00F84A87">
        <w:rPr>
          <w:sz w:val="20"/>
          <w:szCs w:val="20"/>
          <w:vertAlign w:val="subscript"/>
        </w:rPr>
        <w:t>2</w:t>
      </w:r>
      <w:r w:rsidRPr="00EB745D">
        <w:rPr>
          <w:position w:val="6"/>
          <w:sz w:val="20"/>
          <w:szCs w:val="20"/>
        </w:rPr>
        <w:t>16</w:t>
      </w:r>
      <w:r w:rsidRPr="00F84A87">
        <w:rPr>
          <w:sz w:val="20"/>
          <w:szCs w:val="20"/>
        </w:rPr>
        <w:t>O, O</w:t>
      </w:r>
      <w:r w:rsidRPr="00F84A87">
        <w:rPr>
          <w:sz w:val="20"/>
          <w:szCs w:val="20"/>
          <w:vertAlign w:val="subscript"/>
        </w:rPr>
        <w:t>2</w:t>
      </w:r>
      <w:r w:rsidRPr="00F84A87">
        <w:rPr>
          <w:sz w:val="20"/>
          <w:szCs w:val="20"/>
        </w:rPr>
        <w:t xml:space="preserve"> and hydrocarbons (c2-c9)), </w:t>
      </w:r>
      <w:r w:rsidRPr="00EB745D">
        <w:rPr>
          <w:sz w:val="20"/>
          <w:szCs w:val="20"/>
        </w:rPr>
        <w:t xml:space="preserve">prototypes for portable and field measurement of </w:t>
      </w:r>
      <w:r w:rsidRPr="00EB745D">
        <w:rPr>
          <w:position w:val="6"/>
          <w:sz w:val="20"/>
          <w:szCs w:val="20"/>
        </w:rPr>
        <w:t>14</w:t>
      </w:r>
      <w:r w:rsidRPr="00EB745D">
        <w:rPr>
          <w:sz w:val="20"/>
          <w:szCs w:val="20"/>
        </w:rPr>
        <w:t>CO</w:t>
      </w:r>
      <w:r w:rsidRPr="00EB745D">
        <w:rPr>
          <w:sz w:val="20"/>
          <w:szCs w:val="20"/>
          <w:vertAlign w:val="subscript"/>
        </w:rPr>
        <w:t>2</w:t>
      </w:r>
      <w:r w:rsidRPr="00EB745D">
        <w:rPr>
          <w:sz w:val="20"/>
          <w:szCs w:val="20"/>
        </w:rPr>
        <w:t xml:space="preserve"> (Galli et al. 2013; Genoud et al. 2015; McCartt et al. 2016; Fleisher  et  al.  2017),  an  eddy  covariance  system  and  micro-meteorological  station  creating modular, stationary and mobile base stations readily deployable upon initiation of a project. CO</w:t>
      </w:r>
      <w:r w:rsidRPr="00EB745D">
        <w:rPr>
          <w:sz w:val="20"/>
          <w:szCs w:val="20"/>
          <w:vertAlign w:val="subscript"/>
        </w:rPr>
        <w:t>2</w:t>
      </w:r>
      <w:r w:rsidRPr="00EB745D">
        <w:rPr>
          <w:sz w:val="20"/>
          <w:szCs w:val="20"/>
        </w:rPr>
        <w:t xml:space="preserve"> gases are typically measured as parts per million (ppm) or expressed as isotope ratios (e.g. </w:t>
      </w:r>
      <w:r w:rsidRPr="00EB745D">
        <w:rPr>
          <w:position w:val="6"/>
          <w:sz w:val="20"/>
          <w:szCs w:val="20"/>
        </w:rPr>
        <w:t>13/12</w:t>
      </w:r>
      <w:r w:rsidRPr="00EB745D">
        <w:rPr>
          <w:sz w:val="20"/>
          <w:szCs w:val="20"/>
        </w:rPr>
        <w:t xml:space="preserve">C, </w:t>
      </w:r>
      <w:r w:rsidRPr="00EB745D">
        <w:rPr>
          <w:position w:val="6"/>
          <w:sz w:val="20"/>
          <w:szCs w:val="20"/>
        </w:rPr>
        <w:t>14/12</w:t>
      </w:r>
      <w:r w:rsidRPr="00EB745D">
        <w:rPr>
          <w:sz w:val="20"/>
          <w:szCs w:val="20"/>
        </w:rPr>
        <w:t>C)</w:t>
      </w:r>
      <w:r w:rsidRPr="00EB745D">
        <w:rPr>
          <w:position w:val="6"/>
          <w:sz w:val="20"/>
          <w:szCs w:val="20"/>
        </w:rPr>
        <w:t>iii</w:t>
      </w:r>
      <w:r w:rsidRPr="00EB745D">
        <w:rPr>
          <w:sz w:val="20"/>
          <w:szCs w:val="20"/>
        </w:rPr>
        <w:t>. The benefits of the GMP analyzer as a component of the SoS include a standardized, low cost instrument platform for the primary greenhouse gases, automated operation and data reporting in real-time with verified analyzer  function  through  shared  reference  gas  standards  and  third-party  verification.  The standardized, modular system is deployable across small and large landscapes (e.g., ~100  to 1,000,000+   710 hectares) reducing barriers to short and long-term deployment for GHG emission reduction management and verification projects. The GMP is connected to a central reference facility, a data processing facility, a command and control  facility  and to other GMP's in the project  network.  The GMP  typically  includes analyzers for  methane  (CH</w:t>
      </w:r>
      <w:r w:rsidRPr="00EB745D">
        <w:rPr>
          <w:sz w:val="20"/>
          <w:szCs w:val="20"/>
          <w:vertAlign w:val="subscript"/>
        </w:rPr>
        <w:t>4</w:t>
      </w:r>
      <w:r w:rsidRPr="00EB745D">
        <w:rPr>
          <w:sz w:val="20"/>
          <w:szCs w:val="20"/>
        </w:rPr>
        <w:t>) and nitrous  oxide  (N</w:t>
      </w:r>
      <w:r w:rsidRPr="00EB745D">
        <w:rPr>
          <w:sz w:val="20"/>
          <w:szCs w:val="20"/>
          <w:vertAlign w:val="subscript"/>
        </w:rPr>
        <w:t>2</w:t>
      </w:r>
      <w:r w:rsidRPr="00EB745D">
        <w:rPr>
          <w:sz w:val="20"/>
          <w:szCs w:val="20"/>
        </w:rPr>
        <w:t>O) in addition  to CO</w:t>
      </w:r>
      <w:r w:rsidRPr="00EB745D">
        <w:rPr>
          <w:sz w:val="20"/>
          <w:szCs w:val="20"/>
          <w:vertAlign w:val="subscript"/>
        </w:rPr>
        <w:t>2</w:t>
      </w:r>
      <w:r w:rsidRPr="00EB745D">
        <w:rPr>
          <w:sz w:val="20"/>
          <w:szCs w:val="20"/>
        </w:rPr>
        <w:t xml:space="preserve"> providing  a comprehensive  GHG budget for projects recognizing that reductions in CO</w:t>
      </w:r>
      <w:r w:rsidRPr="00EB745D">
        <w:rPr>
          <w:sz w:val="20"/>
          <w:szCs w:val="20"/>
          <w:vertAlign w:val="subscript"/>
        </w:rPr>
        <w:t>2</w:t>
      </w:r>
      <w:r w:rsidRPr="00EB745D">
        <w:rPr>
          <w:sz w:val="20"/>
          <w:szCs w:val="20"/>
        </w:rPr>
        <w:t xml:space="preserve"> may be offset by increases in CH</w:t>
      </w:r>
      <w:r w:rsidRPr="00EB745D">
        <w:rPr>
          <w:sz w:val="20"/>
          <w:szCs w:val="20"/>
          <w:vertAlign w:val="subscript"/>
        </w:rPr>
        <w:t>4</w:t>
      </w:r>
      <w:r w:rsidRPr="00EB745D">
        <w:rPr>
          <w:sz w:val="20"/>
          <w:szCs w:val="20"/>
        </w:rPr>
        <w:t xml:space="preserve"> and N</w:t>
      </w:r>
      <w:r w:rsidRPr="00EB745D">
        <w:rPr>
          <w:sz w:val="20"/>
          <w:szCs w:val="20"/>
          <w:vertAlign w:val="subscript"/>
        </w:rPr>
        <w:t>2</w:t>
      </w:r>
      <w:r w:rsidRPr="00EB745D">
        <w:rPr>
          <w:sz w:val="20"/>
          <w:szCs w:val="20"/>
        </w:rPr>
        <w:t>O (Niklaus et al., 2016; Tian et al., 2015; Tupek et al., 2015). The flux methodology for CO</w:t>
      </w:r>
      <w:r w:rsidRPr="00EB745D">
        <w:rPr>
          <w:sz w:val="20"/>
          <w:szCs w:val="20"/>
          <w:vertAlign w:val="subscript"/>
        </w:rPr>
        <w:t>2</w:t>
      </w:r>
      <w:r w:rsidRPr="00EB745D">
        <w:rPr>
          <w:sz w:val="20"/>
          <w:szCs w:val="20"/>
        </w:rPr>
        <w:t xml:space="preserve"> applies to CO</w:t>
      </w:r>
      <w:r w:rsidRPr="00EB745D">
        <w:rPr>
          <w:sz w:val="20"/>
          <w:szCs w:val="20"/>
          <w:vertAlign w:val="subscript"/>
        </w:rPr>
        <w:t>2</w:t>
      </w:r>
      <w:r w:rsidRPr="00EB745D">
        <w:rPr>
          <w:sz w:val="20"/>
          <w:szCs w:val="20"/>
        </w:rPr>
        <w:t xml:space="preserve">  isotopologues including oxygen isotopic species not described here (e.g., </w:t>
      </w:r>
      <w:r w:rsidRPr="00EB745D">
        <w:rPr>
          <w:position w:val="6"/>
          <w:sz w:val="20"/>
          <w:szCs w:val="20"/>
        </w:rPr>
        <w:t>18</w:t>
      </w:r>
      <w:r w:rsidRPr="00EB745D">
        <w:rPr>
          <w:sz w:val="20"/>
          <w:szCs w:val="20"/>
        </w:rPr>
        <w:t>O</w:t>
      </w:r>
      <w:r w:rsidRPr="00EB745D">
        <w:rPr>
          <w:position w:val="6"/>
          <w:sz w:val="20"/>
          <w:szCs w:val="20"/>
        </w:rPr>
        <w:t>12</w:t>
      </w:r>
      <w:r w:rsidRPr="00EB745D">
        <w:rPr>
          <w:sz w:val="20"/>
          <w:szCs w:val="20"/>
        </w:rPr>
        <w:t>C</w:t>
      </w:r>
      <w:r w:rsidRPr="00EB745D">
        <w:rPr>
          <w:position w:val="6"/>
          <w:sz w:val="20"/>
          <w:szCs w:val="20"/>
        </w:rPr>
        <w:t>16</w:t>
      </w:r>
      <w:r w:rsidRPr="00EB745D">
        <w:rPr>
          <w:sz w:val="20"/>
          <w:szCs w:val="20"/>
        </w:rPr>
        <w:t>O) (Wehr et al., 2013) and to GHG’s and their isotopologues (Arata et al., 2016; Wolf et al., 2015). The GMP employs internal and  shared  standard  reference  gas  modules  for  the  CO</w:t>
      </w:r>
      <w:r w:rsidRPr="00EB745D">
        <w:rPr>
          <w:sz w:val="20"/>
          <w:szCs w:val="20"/>
          <w:vertAlign w:val="subscript"/>
        </w:rPr>
        <w:t>2</w:t>
      </w:r>
      <w:r w:rsidRPr="00EB745D">
        <w:rPr>
          <w:sz w:val="20"/>
          <w:szCs w:val="20"/>
        </w:rPr>
        <w:t xml:space="preserve">  isotopologues  providing  standards  for   reference baseline and calibration for the measured amounts of </w:t>
      </w:r>
      <w:r w:rsidRPr="00EB745D">
        <w:rPr>
          <w:position w:val="6"/>
          <w:sz w:val="20"/>
          <w:szCs w:val="20"/>
        </w:rPr>
        <w:t>12</w:t>
      </w:r>
      <w:r w:rsidRPr="00EB745D">
        <w:rPr>
          <w:sz w:val="20"/>
          <w:szCs w:val="20"/>
        </w:rPr>
        <w:t xml:space="preserve">C, </w:t>
      </w:r>
      <w:r w:rsidRPr="00EB745D">
        <w:rPr>
          <w:position w:val="6"/>
          <w:sz w:val="20"/>
          <w:szCs w:val="20"/>
        </w:rPr>
        <w:t>13</w:t>
      </w:r>
      <w:r w:rsidRPr="00EB745D">
        <w:rPr>
          <w:sz w:val="20"/>
          <w:szCs w:val="20"/>
        </w:rPr>
        <w:t xml:space="preserve">C and </w:t>
      </w:r>
      <w:r w:rsidRPr="00EB745D">
        <w:rPr>
          <w:position w:val="6"/>
          <w:sz w:val="20"/>
          <w:szCs w:val="20"/>
        </w:rPr>
        <w:t>14</w:t>
      </w:r>
      <w:r w:rsidRPr="00EB745D">
        <w:rPr>
          <w:sz w:val="20"/>
          <w:szCs w:val="20"/>
        </w:rPr>
        <w:t xml:space="preserve">C isotopic species for each  GMP analyzer within the SoS sensor network.   In addition, a key technology feature of the DMFCP  includes  synchronous  measurement   of   third-party   reference   gases   obtained   from   national   and  international  entities  such  as  the  World  Meteorological  Organization,  the  National  Oceanic  and Atmospheric Association and the National Institute of Standards  (e.g., "WMO"; "NOAA"; "NIST").  Such reference gases analyzed by the GMP's ensure transparency,   accountability and comparability of data and resulting financial products across all GMP networks on local to global scales. The GMP will house </w:t>
      </w:r>
      <w:r w:rsidRPr="00EB745D">
        <w:rPr>
          <w:position w:val="6"/>
          <w:sz w:val="20"/>
          <w:szCs w:val="20"/>
        </w:rPr>
        <w:t>14</w:t>
      </w:r>
      <w:r w:rsidRPr="00EB745D">
        <w:rPr>
          <w:sz w:val="20"/>
          <w:szCs w:val="20"/>
        </w:rPr>
        <w:t>CO</w:t>
      </w:r>
      <w:r w:rsidRPr="00EB745D">
        <w:rPr>
          <w:sz w:val="20"/>
          <w:szCs w:val="20"/>
          <w:vertAlign w:val="subscript"/>
        </w:rPr>
        <w:t>2</w:t>
      </w:r>
      <w:r w:rsidRPr="00EB745D">
        <w:rPr>
          <w:sz w:val="20"/>
          <w:szCs w:val="20"/>
        </w:rPr>
        <w:t xml:space="preserve"> analyzer field prototypes,  as available, for forest carbon projects to provide  measurement  of the  three molecular forms of CO</w:t>
      </w:r>
      <w:r w:rsidRPr="00EB745D">
        <w:rPr>
          <w:sz w:val="20"/>
          <w:szCs w:val="20"/>
          <w:vertAlign w:val="subscript"/>
        </w:rPr>
        <w:t>2</w:t>
      </w:r>
      <w:r w:rsidRPr="00EB745D">
        <w:rPr>
          <w:sz w:val="20"/>
          <w:szCs w:val="20"/>
        </w:rPr>
        <w:t xml:space="preserve"> defining the natural and anthropogenic carbon cycles. Measurements of </w:t>
      </w:r>
      <w:r w:rsidRPr="00EB745D">
        <w:rPr>
          <w:position w:val="6"/>
          <w:sz w:val="20"/>
          <w:szCs w:val="20"/>
        </w:rPr>
        <w:t>14</w:t>
      </w:r>
      <w:r w:rsidRPr="00EB745D">
        <w:rPr>
          <w:sz w:val="20"/>
          <w:szCs w:val="20"/>
        </w:rPr>
        <w:t>CO</w:t>
      </w:r>
      <w:r w:rsidRPr="00EB745D">
        <w:rPr>
          <w:sz w:val="20"/>
          <w:szCs w:val="20"/>
          <w:vertAlign w:val="subscript"/>
        </w:rPr>
        <w:t>2</w:t>
      </w:r>
      <w:r w:rsidRPr="00EB745D">
        <w:rPr>
          <w:sz w:val="20"/>
          <w:szCs w:val="20"/>
        </w:rPr>
        <w:t xml:space="preserve"> in the atmosphere, soil atmosphere and as organic carbon may also be analyzed by accelerator  mass spectrometry (AMS) where applicable when a portable or field analyzer is not</w:t>
      </w:r>
      <w:r w:rsidRPr="00EB745D">
        <w:rPr>
          <w:spacing w:val="-31"/>
          <w:sz w:val="20"/>
          <w:szCs w:val="20"/>
        </w:rPr>
        <w:t xml:space="preserve"> </w:t>
      </w:r>
      <w:r w:rsidRPr="00EB745D">
        <w:rPr>
          <w:sz w:val="20"/>
          <w:szCs w:val="20"/>
        </w:rPr>
        <w:t>available.</w:t>
      </w:r>
    </w:p>
    <w:p w14:paraId="01F206DE" w14:textId="77777777" w:rsidR="005770B9" w:rsidRDefault="005770B9" w:rsidP="005770B9">
      <w:pPr>
        <w:jc w:val="both"/>
        <w:rPr>
          <w:sz w:val="20"/>
          <w:szCs w:val="20"/>
        </w:rPr>
      </w:pPr>
    </w:p>
    <w:p w14:paraId="41520CF8" w14:textId="2D7A3EF5" w:rsidR="005770B9" w:rsidRPr="006C577F" w:rsidRDefault="005770B9" w:rsidP="005770B9">
      <w:pPr>
        <w:jc w:val="both"/>
        <w:rPr>
          <w:sz w:val="20"/>
          <w:szCs w:val="20"/>
        </w:rPr>
      </w:pPr>
      <w:r w:rsidRPr="00EB745D">
        <w:rPr>
          <w:sz w:val="20"/>
          <w:szCs w:val="20"/>
          <w:u w:val="single"/>
        </w:rPr>
        <w:t>Eddy Covariance (EC).</w:t>
      </w:r>
      <w:r w:rsidRPr="00F84A87">
        <w:rPr>
          <w:sz w:val="20"/>
          <w:szCs w:val="20"/>
        </w:rPr>
        <w:t xml:space="preserve"> The EC method measures gas fluxes in and out of an ecosystem (D. D. Baldocchi,</w:t>
      </w:r>
      <w:r w:rsidRPr="00EB745D">
        <w:rPr>
          <w:sz w:val="20"/>
          <w:szCs w:val="20"/>
        </w:rPr>
        <w:t xml:space="preserve"> </w:t>
      </w:r>
      <w:r w:rsidRPr="00F84A87">
        <w:rPr>
          <w:sz w:val="20"/>
          <w:szCs w:val="20"/>
        </w:rPr>
        <w:t>2010; Burba, 2013;  Running  et  al.,  1999).  The  EC  method  is  the  most  accurate  and  direct  approach available for determining the dynamic net ecosystem exchange (NEE) for a project area (Figure 1). The  method is based on direct and fast measurements (e.g., 10 Hz) of actual gas transport characterized by a three-dimensional wind field in real time. The concentration  of the gas of interest (e.g., CO</w:t>
      </w:r>
      <w:r w:rsidRPr="00EB745D">
        <w:rPr>
          <w:sz w:val="20"/>
          <w:szCs w:val="20"/>
        </w:rPr>
        <w:t>2</w:t>
      </w:r>
      <w:r w:rsidRPr="00F84A87">
        <w:rPr>
          <w:sz w:val="20"/>
          <w:szCs w:val="20"/>
        </w:rPr>
        <w:t xml:space="preserve">, </w:t>
      </w:r>
      <w:r w:rsidRPr="00EB745D">
        <w:rPr>
          <w:sz w:val="20"/>
          <w:szCs w:val="20"/>
        </w:rPr>
        <w:t>13</w:t>
      </w:r>
      <w:r w:rsidRPr="00F84A87">
        <w:rPr>
          <w:sz w:val="20"/>
          <w:szCs w:val="20"/>
        </w:rPr>
        <w:t>CO</w:t>
      </w:r>
      <w:r w:rsidRPr="00EB745D">
        <w:rPr>
          <w:sz w:val="20"/>
          <w:szCs w:val="20"/>
        </w:rPr>
        <w:t>2</w:t>
      </w:r>
      <w:r w:rsidRPr="00F84A87">
        <w:rPr>
          <w:sz w:val="20"/>
          <w:szCs w:val="20"/>
        </w:rPr>
        <w:t xml:space="preserve"> and </w:t>
      </w:r>
      <w:r w:rsidRPr="00EB745D">
        <w:rPr>
          <w:sz w:val="20"/>
          <w:szCs w:val="20"/>
        </w:rPr>
        <w:t>14</w:t>
      </w:r>
      <w:r w:rsidRPr="00F84A87">
        <w:rPr>
          <w:sz w:val="20"/>
          <w:szCs w:val="20"/>
        </w:rPr>
        <w:t>CO</w:t>
      </w:r>
      <w:r w:rsidRPr="00EB745D">
        <w:rPr>
          <w:sz w:val="20"/>
          <w:szCs w:val="20"/>
        </w:rPr>
        <w:t>2</w:t>
      </w:r>
      <w:r w:rsidRPr="00F84A87">
        <w:rPr>
          <w:sz w:val="20"/>
          <w:szCs w:val="20"/>
        </w:rPr>
        <w:t>) is measured concomitantly resulting in flux of the gas. In the case of isotopic forms of CO</w:t>
      </w:r>
      <w:r w:rsidRPr="00EB745D">
        <w:rPr>
          <w:sz w:val="20"/>
          <w:szCs w:val="20"/>
        </w:rPr>
        <w:t>2</w:t>
      </w:r>
      <w:r w:rsidRPr="00F84A87">
        <w:rPr>
          <w:sz w:val="20"/>
          <w:szCs w:val="20"/>
        </w:rPr>
        <w:t>, isoflux</w:t>
      </w:r>
      <w:r w:rsidRPr="00EB745D">
        <w:rPr>
          <w:sz w:val="20"/>
          <w:szCs w:val="20"/>
        </w:rPr>
        <w:t xml:space="preserve"> </w:t>
      </w:r>
      <w:r w:rsidRPr="00F84A87">
        <w:rPr>
          <w:sz w:val="20"/>
          <w:szCs w:val="20"/>
        </w:rPr>
        <w:t xml:space="preserve">for  each  isotope  is  determined  (e.g.,  </w:t>
      </w:r>
      <w:r w:rsidRPr="00EB745D">
        <w:rPr>
          <w:sz w:val="20"/>
          <w:szCs w:val="20"/>
        </w:rPr>
        <w:t>13</w:t>
      </w:r>
      <w:r w:rsidRPr="00F84A87">
        <w:rPr>
          <w:sz w:val="20"/>
          <w:szCs w:val="20"/>
        </w:rPr>
        <w:t>CO</w:t>
      </w:r>
      <w:r w:rsidRPr="00EB745D">
        <w:rPr>
          <w:sz w:val="20"/>
          <w:szCs w:val="20"/>
        </w:rPr>
        <w:t>2</w:t>
      </w:r>
      <w:r w:rsidRPr="00F84A87">
        <w:rPr>
          <w:sz w:val="20"/>
          <w:szCs w:val="20"/>
        </w:rPr>
        <w:t xml:space="preserve">,  </w:t>
      </w:r>
      <w:r w:rsidRPr="00EB745D">
        <w:rPr>
          <w:sz w:val="20"/>
          <w:szCs w:val="20"/>
        </w:rPr>
        <w:t>14</w:t>
      </w:r>
      <w:r w:rsidRPr="00F84A87">
        <w:rPr>
          <w:sz w:val="20"/>
          <w:szCs w:val="20"/>
        </w:rPr>
        <w:t>CO</w:t>
      </w:r>
      <w:r w:rsidRPr="00EB745D">
        <w:rPr>
          <w:sz w:val="20"/>
          <w:szCs w:val="20"/>
        </w:rPr>
        <w:t>2</w:t>
      </w:r>
      <w:r w:rsidRPr="00F84A87">
        <w:rPr>
          <w:sz w:val="20"/>
          <w:szCs w:val="20"/>
        </w:rPr>
        <w:t>)  and  employed  to  create  unique  DMFCP  carbon</w:t>
      </w:r>
      <w:r w:rsidRPr="00EB745D">
        <w:rPr>
          <w:sz w:val="20"/>
          <w:szCs w:val="20"/>
        </w:rPr>
        <w:t xml:space="preserve"> </w:t>
      </w:r>
      <w:r w:rsidRPr="00F84A87">
        <w:rPr>
          <w:sz w:val="20"/>
          <w:szCs w:val="20"/>
        </w:rPr>
        <w:t>products based on a two carbon species approach (</w:t>
      </w:r>
      <w:r w:rsidRPr="00EB745D">
        <w:rPr>
          <w:sz w:val="20"/>
          <w:szCs w:val="20"/>
        </w:rPr>
        <w:t>13/12</w:t>
      </w:r>
      <w:r w:rsidRPr="00F84A87">
        <w:rPr>
          <w:sz w:val="20"/>
          <w:szCs w:val="20"/>
        </w:rPr>
        <w:t>CO</w:t>
      </w:r>
      <w:r w:rsidRPr="00EB745D">
        <w:rPr>
          <w:sz w:val="20"/>
          <w:szCs w:val="20"/>
        </w:rPr>
        <w:t>2</w:t>
      </w:r>
      <w:r w:rsidRPr="00F84A87">
        <w:rPr>
          <w:sz w:val="20"/>
          <w:szCs w:val="20"/>
        </w:rPr>
        <w:t xml:space="preserve">, </w:t>
      </w:r>
      <w:r w:rsidRPr="00EB745D">
        <w:rPr>
          <w:sz w:val="20"/>
          <w:szCs w:val="20"/>
        </w:rPr>
        <w:lastRenderedPageBreak/>
        <w:t>14/12</w:t>
      </w:r>
      <w:r w:rsidRPr="00F84A87">
        <w:rPr>
          <w:sz w:val="20"/>
          <w:szCs w:val="20"/>
        </w:rPr>
        <w:t>CO</w:t>
      </w:r>
      <w:r w:rsidRPr="00EB745D">
        <w:rPr>
          <w:sz w:val="20"/>
          <w:szCs w:val="20"/>
        </w:rPr>
        <w:t>2</w:t>
      </w:r>
      <w:r w:rsidRPr="00F84A87">
        <w:rPr>
          <w:sz w:val="20"/>
          <w:szCs w:val="20"/>
        </w:rPr>
        <w:t xml:space="preserve">).  The EC method has been applied   </w:t>
      </w:r>
      <w:r w:rsidRPr="00EB745D">
        <w:rPr>
          <w:sz w:val="20"/>
          <w:szCs w:val="20"/>
        </w:rPr>
        <w:t xml:space="preserve"> </w:t>
      </w:r>
      <w:r w:rsidRPr="00F84A87">
        <w:rPr>
          <w:sz w:val="20"/>
          <w:szCs w:val="20"/>
        </w:rPr>
        <w:t>worldwide under remote and harsh conditions employing solar power for months without maintenance</w:t>
      </w:r>
      <w:r w:rsidRPr="00EB745D">
        <w:rPr>
          <w:sz w:val="20"/>
          <w:szCs w:val="20"/>
        </w:rPr>
        <w:t xml:space="preserve"> </w:t>
      </w:r>
      <w:r w:rsidRPr="00F84A87">
        <w:rPr>
          <w:sz w:val="20"/>
          <w:szCs w:val="20"/>
        </w:rPr>
        <w:t>(Burba, 2013).   Open or closed path gas analyzers (e.g., CO</w:t>
      </w:r>
      <w:r w:rsidRPr="00EB745D">
        <w:rPr>
          <w:sz w:val="20"/>
          <w:szCs w:val="20"/>
        </w:rPr>
        <w:t>2</w:t>
      </w:r>
      <w:r w:rsidRPr="00F84A87">
        <w:rPr>
          <w:sz w:val="20"/>
          <w:szCs w:val="20"/>
        </w:rPr>
        <w:t>, CH</w:t>
      </w:r>
      <w:r w:rsidRPr="00EB745D">
        <w:rPr>
          <w:sz w:val="20"/>
          <w:szCs w:val="20"/>
        </w:rPr>
        <w:t>4</w:t>
      </w:r>
      <w:r w:rsidRPr="00F84A87">
        <w:rPr>
          <w:sz w:val="20"/>
          <w:szCs w:val="20"/>
        </w:rPr>
        <w:t>, N</w:t>
      </w:r>
      <w:r w:rsidRPr="00EB745D">
        <w:rPr>
          <w:sz w:val="20"/>
          <w:szCs w:val="20"/>
        </w:rPr>
        <w:t>2</w:t>
      </w:r>
      <w:r w:rsidRPr="00F84A87">
        <w:rPr>
          <w:sz w:val="20"/>
          <w:szCs w:val="20"/>
        </w:rPr>
        <w:t>O) coupled with automated flux</w:t>
      </w:r>
      <w:r w:rsidRPr="00EB745D">
        <w:rPr>
          <w:sz w:val="20"/>
          <w:szCs w:val="20"/>
        </w:rPr>
        <w:t xml:space="preserve"> </w:t>
      </w:r>
      <w:r w:rsidRPr="00F84A87">
        <w:rPr>
          <w:sz w:val="20"/>
          <w:szCs w:val="20"/>
        </w:rPr>
        <w:t>calculation, telemetry and integrated micrometeorological sensors, for example, could be employed in</w:t>
      </w:r>
      <w:r w:rsidRPr="00EB745D">
        <w:rPr>
          <w:sz w:val="20"/>
          <w:szCs w:val="20"/>
        </w:rPr>
        <w:t xml:space="preserve"> </w:t>
      </w:r>
      <w:r w:rsidRPr="00F84A87">
        <w:rPr>
          <w:sz w:val="20"/>
          <w:szCs w:val="20"/>
        </w:rPr>
        <w:t>DMFCP  systems  serving  as  initial  base  platforms  readily  delivered  to  the  project  site.  Additional  instrumentation could be integrated as specified in the project plan. EC data are analyzed by a variety of models across small and large</w:t>
      </w:r>
      <w:r>
        <w:rPr>
          <w:sz w:val="20"/>
          <w:szCs w:val="20"/>
        </w:rPr>
        <w:t>-</w:t>
      </w:r>
      <w:r w:rsidRPr="00F84A87">
        <w:rPr>
          <w:sz w:val="20"/>
          <w:szCs w:val="20"/>
        </w:rPr>
        <w:t>scale</w:t>
      </w:r>
      <w:bookmarkStart w:id="0" w:name="_GoBack"/>
      <w:bookmarkEnd w:id="0"/>
      <w:r w:rsidRPr="00F84A87">
        <w:rPr>
          <w:sz w:val="20"/>
          <w:szCs w:val="20"/>
        </w:rPr>
        <w:t xml:space="preserve"> to calculate NEE (Burba, 2013; Fox et al., 2009). Off the shelf bulk </w:t>
      </w:r>
      <w:r w:rsidRPr="00EB745D">
        <w:rPr>
          <w:sz w:val="20"/>
          <w:szCs w:val="20"/>
        </w:rPr>
        <w:t xml:space="preserve"> </w:t>
      </w:r>
      <w:r w:rsidRPr="00F84A87">
        <w:rPr>
          <w:sz w:val="20"/>
          <w:szCs w:val="20"/>
        </w:rPr>
        <w:t>and isotopic analyzers for EC measurements are available from a variety of vendors (e.g., Licor Inc,</w:t>
      </w:r>
      <w:r w:rsidRPr="00EB745D">
        <w:rPr>
          <w:sz w:val="20"/>
          <w:szCs w:val="20"/>
        </w:rPr>
        <w:t xml:space="preserve"> </w:t>
      </w:r>
      <w:r w:rsidRPr="00F84A87">
        <w:rPr>
          <w:sz w:val="20"/>
          <w:szCs w:val="20"/>
        </w:rPr>
        <w:t xml:space="preserve">Lincoln, NE, USA; Campbell Scientific Campbell Scientific Inc., Logan, UT, USA; Picarro, Santa Clara   </w:t>
      </w:r>
      <w:r w:rsidRPr="00EB745D">
        <w:rPr>
          <w:sz w:val="20"/>
          <w:szCs w:val="20"/>
        </w:rPr>
        <w:t xml:space="preserve">746 </w:t>
      </w:r>
      <w:r w:rsidRPr="00F84A87">
        <w:rPr>
          <w:sz w:val="20"/>
          <w:szCs w:val="20"/>
        </w:rPr>
        <w:t>CA, USA; Los Gatos Research, San Jose, CA,</w:t>
      </w:r>
      <w:r w:rsidRPr="00EB745D">
        <w:rPr>
          <w:sz w:val="20"/>
          <w:szCs w:val="20"/>
        </w:rPr>
        <w:t xml:space="preserve"> </w:t>
      </w:r>
      <w:r w:rsidRPr="00F84A87">
        <w:rPr>
          <w:sz w:val="20"/>
          <w:szCs w:val="20"/>
        </w:rPr>
        <w:t>USA).</w:t>
      </w:r>
      <w:r>
        <w:rPr>
          <w:sz w:val="20"/>
          <w:szCs w:val="20"/>
        </w:rPr>
        <w:t xml:space="preserve"> </w:t>
      </w:r>
      <w:r w:rsidRPr="00F84A87">
        <w:rPr>
          <w:sz w:val="20"/>
          <w:szCs w:val="20"/>
        </w:rPr>
        <w:t>Uncertainty for eddy covariance NEE is well described across all variables involved (</w:t>
      </w:r>
      <w:hyperlink r:id="rId6" w:history="1">
        <w:r w:rsidRPr="00EB745D">
          <w:rPr>
            <w:color w:val="0000FF"/>
            <w:sz w:val="20"/>
            <w:szCs w:val="20"/>
            <w:u w:val="single"/>
          </w:rPr>
          <w:t>https://fluxnet.fluxdata.org/data/fluxnet2015-dataset/fullset-data-product/</w:t>
        </w:r>
      </w:hyperlink>
      <w:r w:rsidRPr="00EB745D">
        <w:rPr>
          <w:sz w:val="20"/>
          <w:szCs w:val="20"/>
        </w:rPr>
        <w:t>) yielding quality assurance/quality control for single variables and multiple and combined variables (</w:t>
      </w:r>
      <w:hyperlink r:id="rId7" w:history="1">
        <w:r w:rsidRPr="00EB745D">
          <w:rPr>
            <w:color w:val="0000FF"/>
            <w:sz w:val="20"/>
            <w:szCs w:val="20"/>
            <w:u w:val="single"/>
          </w:rPr>
          <w:t>https://fluxnet.fluxdata.org/data/fluxnet2015-dataset/data-processing/</w:t>
        </w:r>
      </w:hyperlink>
      <w:r w:rsidRPr="00EB745D">
        <w:rPr>
          <w:sz w:val="20"/>
          <w:szCs w:val="20"/>
        </w:rPr>
        <w:t>).</w:t>
      </w:r>
      <w:r>
        <w:rPr>
          <w:sz w:val="20"/>
          <w:szCs w:val="20"/>
        </w:rPr>
        <w:t xml:space="preserve"> Open source code for eddy covariance data processing such as ONEFlux is freely available under a BSD license (e.g., </w:t>
      </w:r>
      <w:r w:rsidRPr="006C577F">
        <w:rPr>
          <w:sz w:val="20"/>
          <w:szCs w:val="20"/>
        </w:rPr>
        <w:t>https://github.com/AmeriFlux/ONEFlux</w:t>
      </w:r>
      <w:r>
        <w:rPr>
          <w:sz w:val="20"/>
          <w:szCs w:val="20"/>
        </w:rPr>
        <w:t xml:space="preserve">). </w:t>
      </w:r>
      <w:r w:rsidRPr="006C577F">
        <w:rPr>
          <w:sz w:val="20"/>
          <w:szCs w:val="20"/>
        </w:rPr>
        <w:t xml:space="preserve">ONEFlux (Open Network-Enabled Flux processing pipeline) </w:t>
      </w:r>
      <w:r>
        <w:rPr>
          <w:sz w:val="20"/>
          <w:szCs w:val="20"/>
        </w:rPr>
        <w:t xml:space="preserve">automatically </w:t>
      </w:r>
      <w:r w:rsidRPr="006C577F">
        <w:rPr>
          <w:sz w:val="20"/>
          <w:szCs w:val="20"/>
        </w:rPr>
        <w:t>consolidates multiple computations to process half-hourly flux inputs including friction-velocity-threshold estimation methods and filtering, gap-filling of micrometeorological and flux variables, partitioning of CO</w:t>
      </w:r>
      <w:r w:rsidRPr="00EB745D">
        <w:rPr>
          <w:sz w:val="20"/>
          <w:szCs w:val="20"/>
          <w:vertAlign w:val="subscript"/>
        </w:rPr>
        <w:t>2</w:t>
      </w:r>
      <w:r w:rsidRPr="006C577F">
        <w:rPr>
          <w:sz w:val="20"/>
          <w:szCs w:val="20"/>
        </w:rPr>
        <w:t xml:space="preserve"> fluxes into ecosystem respiration and gross primary production</w:t>
      </w:r>
      <w:r>
        <w:rPr>
          <w:sz w:val="20"/>
          <w:szCs w:val="20"/>
        </w:rPr>
        <w:t xml:space="preserve"> and related uncertainties. ONEFlux i</w:t>
      </w:r>
      <w:r w:rsidRPr="006C577F">
        <w:rPr>
          <w:sz w:val="20"/>
          <w:szCs w:val="20"/>
        </w:rPr>
        <w:t xml:space="preserve">s compatible with </w:t>
      </w:r>
      <w:r>
        <w:rPr>
          <w:sz w:val="20"/>
          <w:szCs w:val="20"/>
        </w:rPr>
        <w:t>and has been tested against t</w:t>
      </w:r>
      <w:r w:rsidRPr="006C577F">
        <w:rPr>
          <w:sz w:val="20"/>
          <w:szCs w:val="20"/>
        </w:rPr>
        <w:t>he FLUXNET2015 dataset</w:t>
      </w:r>
      <w:r>
        <w:rPr>
          <w:sz w:val="20"/>
          <w:szCs w:val="20"/>
        </w:rPr>
        <w:t xml:space="preserve">. </w:t>
      </w:r>
    </w:p>
    <w:p w14:paraId="03C84E07" w14:textId="77777777" w:rsidR="005770B9" w:rsidRDefault="005770B9" w:rsidP="005770B9">
      <w:pPr>
        <w:jc w:val="both"/>
        <w:rPr>
          <w:color w:val="FF0000"/>
          <w:sz w:val="20"/>
          <w:szCs w:val="20"/>
          <w:u w:val="single"/>
        </w:rPr>
      </w:pPr>
      <w:bookmarkStart w:id="1" w:name="_Hlk30082386"/>
    </w:p>
    <w:p w14:paraId="36662468" w14:textId="77777777" w:rsidR="005770B9" w:rsidRPr="00EB745D" w:rsidRDefault="005770B9" w:rsidP="005770B9">
      <w:pPr>
        <w:jc w:val="both"/>
        <w:rPr>
          <w:color w:val="FF0000"/>
        </w:rPr>
      </w:pPr>
      <w:bookmarkStart w:id="2" w:name="_Hlk31710977"/>
      <w:r w:rsidRPr="00EB745D">
        <w:rPr>
          <w:color w:val="FF0000"/>
          <w:sz w:val="20"/>
          <w:szCs w:val="20"/>
          <w:u w:val="single"/>
        </w:rPr>
        <w:t>Project Management Plan</w:t>
      </w:r>
      <w:r w:rsidRPr="00EB745D">
        <w:rPr>
          <w:color w:val="FF0000"/>
          <w:sz w:val="20"/>
          <w:szCs w:val="20"/>
        </w:rPr>
        <w:t>. A project is initiated with a Memorandum of Understanding and a Project Listing Application describing details of the project location, proof of ownership or management authority, ecology and historical and current forest operations. A Project Management Plan is created that reflects the project agreement and contract terms to reverse deforestation through payments made to landowners in lieu of forest harvest and destruction. Deployment of the SoS with GMP nodes is established. Data quality standards and reporting of data for monetization to carbon markets are established. Terms related to payments to landowners are agreed upon including options for upfront, and upfront plus royalty on sales, including schedule of payments are defined. For example, annual payments with the flexibility to defer payments over two to five-year intervals may apply to forests with intermittent net positive emissions of CO</w:t>
      </w:r>
      <w:r w:rsidRPr="00EB745D">
        <w:rPr>
          <w:color w:val="FF0000"/>
          <w:sz w:val="20"/>
          <w:szCs w:val="20"/>
          <w:vertAlign w:val="subscript"/>
        </w:rPr>
        <w:t>2</w:t>
      </w:r>
      <w:r w:rsidRPr="00EB745D">
        <w:rPr>
          <w:color w:val="FF0000"/>
          <w:sz w:val="20"/>
          <w:szCs w:val="20"/>
        </w:rPr>
        <w:t xml:space="preserve"> to the atmosphere; a variety of options would be available. A renewal period could be set at decadal or longer intervals. Conditions that define intentional and unavoidable (e.g., force majeure) forest carbon reversals and remedies for the parties are also agreed upon. No-fee registration of the project forest carbon products is included in the management plan, providing a transparent accounting, based on generally accepted accounting principles (GAAP). Actual agreements and contracts may vary according to each project.</w:t>
      </w:r>
    </w:p>
    <w:bookmarkEnd w:id="1"/>
    <w:bookmarkEnd w:id="2"/>
    <w:p w14:paraId="27A1D9FF" w14:textId="77777777" w:rsidR="00213293" w:rsidRDefault="00A96CDC"/>
    <w:sectPr w:rsidR="00213293" w:rsidSect="005770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028C" w14:textId="77777777" w:rsidR="00A96CDC" w:rsidRDefault="00A96CDC" w:rsidP="00481614">
      <w:r>
        <w:separator/>
      </w:r>
    </w:p>
  </w:endnote>
  <w:endnote w:type="continuationSeparator" w:id="0">
    <w:p w14:paraId="741FB5ED" w14:textId="77777777" w:rsidR="00A96CDC" w:rsidRDefault="00A96CDC" w:rsidP="0048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73867"/>
      <w:docPartObj>
        <w:docPartGallery w:val="Page Numbers (Bottom of Page)"/>
        <w:docPartUnique/>
      </w:docPartObj>
    </w:sdtPr>
    <w:sdtEndPr>
      <w:rPr>
        <w:noProof/>
      </w:rPr>
    </w:sdtEndPr>
    <w:sdtContent>
      <w:p w14:paraId="6B96871F" w14:textId="5FAD5BE9" w:rsidR="00481614" w:rsidRDefault="00481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2C991" w14:textId="77777777" w:rsidR="00481614" w:rsidRDefault="0048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5E26" w14:textId="77777777" w:rsidR="00A96CDC" w:rsidRDefault="00A96CDC" w:rsidP="00481614">
      <w:r>
        <w:separator/>
      </w:r>
    </w:p>
  </w:footnote>
  <w:footnote w:type="continuationSeparator" w:id="0">
    <w:p w14:paraId="56F431E4" w14:textId="77777777" w:rsidR="00A96CDC" w:rsidRDefault="00A96CDC" w:rsidP="0048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B9"/>
    <w:rsid w:val="000E5C96"/>
    <w:rsid w:val="00330D49"/>
    <w:rsid w:val="00481614"/>
    <w:rsid w:val="005770B9"/>
    <w:rsid w:val="007270E3"/>
    <w:rsid w:val="00A9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DE23"/>
  <w15:chartTrackingRefBased/>
  <w15:docId w15:val="{A2F4D802-1803-4CAC-BFB8-EB80645E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B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unhideWhenUsed/>
    <w:qFormat/>
    <w:rsid w:val="00481614"/>
    <w:pPr>
      <w:widowControl w:val="0"/>
      <w:autoSpaceDE w:val="0"/>
      <w:autoSpaceDN w:val="0"/>
      <w:ind w:left="720" w:hanging="619"/>
      <w:outlineLvl w:val="3"/>
    </w:pPr>
    <w:rPr>
      <w:rFonts w:ascii="Palatino Linotype" w:eastAsia="Palatino Linotype" w:hAnsi="Palatino Linotype" w:cs="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70B9"/>
    <w:pPr>
      <w:widowControl w:val="0"/>
      <w:autoSpaceDE w:val="0"/>
      <w:autoSpaceDN w:val="0"/>
      <w:ind w:left="720"/>
    </w:pPr>
    <w:rPr>
      <w:rFonts w:ascii="Palatino Linotype" w:eastAsia="Palatino Linotype" w:hAnsi="Palatino Linotype" w:cs="Palatino Linotype"/>
      <w:sz w:val="20"/>
      <w:szCs w:val="20"/>
    </w:rPr>
  </w:style>
  <w:style w:type="character" w:customStyle="1" w:styleId="BodyTextChar">
    <w:name w:val="Body Text Char"/>
    <w:basedOn w:val="DefaultParagraphFont"/>
    <w:link w:val="BodyText"/>
    <w:uiPriority w:val="1"/>
    <w:rsid w:val="005770B9"/>
    <w:rPr>
      <w:rFonts w:ascii="Palatino Linotype" w:eastAsia="Palatino Linotype" w:hAnsi="Palatino Linotype" w:cs="Palatino Linotype"/>
      <w:sz w:val="20"/>
      <w:szCs w:val="20"/>
    </w:rPr>
  </w:style>
  <w:style w:type="character" w:styleId="LineNumber">
    <w:name w:val="line number"/>
    <w:basedOn w:val="DefaultParagraphFont"/>
    <w:uiPriority w:val="99"/>
    <w:semiHidden/>
    <w:unhideWhenUsed/>
    <w:rsid w:val="005770B9"/>
  </w:style>
  <w:style w:type="character" w:customStyle="1" w:styleId="Heading4Char">
    <w:name w:val="Heading 4 Char"/>
    <w:basedOn w:val="DefaultParagraphFont"/>
    <w:link w:val="Heading4"/>
    <w:uiPriority w:val="9"/>
    <w:rsid w:val="00481614"/>
    <w:rPr>
      <w:rFonts w:ascii="Palatino Linotype" w:eastAsia="Palatino Linotype" w:hAnsi="Palatino Linotype" w:cs="Palatino Linotype"/>
      <w:b/>
      <w:bCs/>
      <w:sz w:val="20"/>
      <w:szCs w:val="20"/>
    </w:rPr>
  </w:style>
  <w:style w:type="paragraph" w:styleId="Header">
    <w:name w:val="header"/>
    <w:basedOn w:val="Normal"/>
    <w:link w:val="HeaderChar"/>
    <w:uiPriority w:val="99"/>
    <w:unhideWhenUsed/>
    <w:rsid w:val="00481614"/>
    <w:pPr>
      <w:tabs>
        <w:tab w:val="center" w:pos="4680"/>
        <w:tab w:val="right" w:pos="9360"/>
      </w:tabs>
    </w:pPr>
  </w:style>
  <w:style w:type="character" w:customStyle="1" w:styleId="HeaderChar">
    <w:name w:val="Header Char"/>
    <w:basedOn w:val="DefaultParagraphFont"/>
    <w:link w:val="Header"/>
    <w:uiPriority w:val="99"/>
    <w:rsid w:val="004816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614"/>
    <w:pPr>
      <w:tabs>
        <w:tab w:val="center" w:pos="4680"/>
        <w:tab w:val="right" w:pos="9360"/>
      </w:tabs>
    </w:pPr>
  </w:style>
  <w:style w:type="character" w:customStyle="1" w:styleId="FooterChar">
    <w:name w:val="Footer Char"/>
    <w:basedOn w:val="DefaultParagraphFont"/>
    <w:link w:val="Footer"/>
    <w:uiPriority w:val="99"/>
    <w:rsid w:val="004816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luxnet.fluxdata.org/data/fluxnet2015-dataset/data-proces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uxnet.fluxdata.org/data/fluxnet2015-dataset/fullset-data-produ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marino</dc:creator>
  <cp:keywords/>
  <dc:description/>
  <cp:lastModifiedBy>bruno marino</cp:lastModifiedBy>
  <cp:revision>2</cp:revision>
  <dcterms:created xsi:type="dcterms:W3CDTF">2020-02-08T22:49:00Z</dcterms:created>
  <dcterms:modified xsi:type="dcterms:W3CDTF">2020-02-08T22:49:00Z</dcterms:modified>
</cp:coreProperties>
</file>