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1664"/>
        <w:gridCol w:w="5300"/>
        <w:gridCol w:w="953"/>
        <w:gridCol w:w="1315"/>
      </w:tblGrid>
      <w:tr w:rsidR="00FE3005" w:rsidRPr="00DB5FD4" w:rsidTr="00EF4A18">
        <w:trPr>
          <w:jc w:val="center"/>
        </w:trPr>
        <w:tc>
          <w:tcPr>
            <w:tcW w:w="1664" w:type="dxa"/>
            <w:shd w:val="clear" w:color="auto" w:fill="BEBEBE"/>
          </w:tcPr>
          <w:p w:rsidR="00FE3005" w:rsidRDefault="00FE3005" w:rsidP="00EF4A18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lang w:bidi="ar"/>
              </w:rPr>
              <w:t>Term</w:t>
            </w:r>
          </w:p>
        </w:tc>
        <w:tc>
          <w:tcPr>
            <w:tcW w:w="5300" w:type="dxa"/>
            <w:shd w:val="clear" w:color="auto" w:fill="BEBEBE"/>
          </w:tcPr>
          <w:p w:rsidR="00FE3005" w:rsidRDefault="00FE3005" w:rsidP="00EF4A18">
            <w:pPr>
              <w:widowControl/>
              <w:spacing w:line="360" w:lineRule="auto"/>
              <w:jc w:val="lef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bidi="ar"/>
              </w:rPr>
              <w:t>Description</w:t>
            </w:r>
          </w:p>
        </w:tc>
        <w:tc>
          <w:tcPr>
            <w:tcW w:w="953" w:type="dxa"/>
            <w:shd w:val="clear" w:color="auto" w:fill="BEBEBE"/>
          </w:tcPr>
          <w:p w:rsidR="00FE3005" w:rsidRDefault="00FE3005" w:rsidP="00EF4A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bidi="ar"/>
              </w:rPr>
              <w:t>Count</w:t>
            </w:r>
          </w:p>
        </w:tc>
        <w:tc>
          <w:tcPr>
            <w:tcW w:w="1315" w:type="dxa"/>
            <w:shd w:val="clear" w:color="auto" w:fill="BEBEBE"/>
          </w:tcPr>
          <w:p w:rsidR="00FE3005" w:rsidRDefault="00FE3005" w:rsidP="00EF4A18">
            <w:pPr>
              <w:widowControl/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bidi="ar"/>
              </w:rPr>
              <w:t>Log</w:t>
            </w:r>
            <w:r>
              <w:rPr>
                <w:rFonts w:ascii="Times New Roman" w:eastAsia="Times New Roman" w:hAnsi="Times New Roman"/>
                <w:b/>
                <w:vertAlign w:val="subscript"/>
                <w:lang w:bidi="ar"/>
              </w:rPr>
              <w:t>10</w:t>
            </w:r>
            <w:r>
              <w:rPr>
                <w:rFonts w:ascii="Times New Roman" w:eastAsia="Times New Roman" w:hAnsi="Times New Roman"/>
                <w:b/>
                <w:lang w:bidi="ar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lang w:bidi="ar"/>
              </w:rPr>
              <w:t>P-</w:t>
            </w:r>
            <w:r>
              <w:rPr>
                <w:rFonts w:ascii="Times New Roman" w:eastAsia="Times New Roman" w:hAnsi="Times New Roman"/>
                <w:b/>
                <w:lang w:bidi="ar"/>
              </w:rPr>
              <w:t>value)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GO:0019373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Epoxygenase P450 pathway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-13.85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GO:0006631</w:t>
            </w:r>
          </w:p>
        </w:tc>
        <w:tc>
          <w:tcPr>
            <w:tcW w:w="5300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Fatty acid metabolic process</w:t>
            </w:r>
          </w:p>
        </w:tc>
        <w:tc>
          <w:tcPr>
            <w:tcW w:w="953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11</w:t>
            </w:r>
          </w:p>
        </w:tc>
        <w:tc>
          <w:tcPr>
            <w:tcW w:w="1315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-13.78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R-HSA-8957275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Post-translational protein phosphorylation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8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-13.25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GO:0001676</w:t>
            </w:r>
          </w:p>
        </w:tc>
        <w:tc>
          <w:tcPr>
            <w:tcW w:w="5300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Long-chain fatty acid metabolic process</w:t>
            </w:r>
          </w:p>
        </w:tc>
        <w:tc>
          <w:tcPr>
            <w:tcW w:w="953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8</w:t>
            </w:r>
          </w:p>
        </w:tc>
        <w:tc>
          <w:tcPr>
            <w:tcW w:w="1315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-13.18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R-HSA-9033241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Peroxisomal protein import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-12.86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GO:0032787</w:t>
            </w:r>
          </w:p>
        </w:tc>
        <w:tc>
          <w:tcPr>
            <w:tcW w:w="5300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Monocarboxylic acid metabolic process</w:t>
            </w:r>
          </w:p>
        </w:tc>
        <w:tc>
          <w:tcPr>
            <w:tcW w:w="953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12</w:t>
            </w:r>
          </w:p>
        </w:tc>
        <w:tc>
          <w:tcPr>
            <w:tcW w:w="1315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-12.85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hsa00830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Retinol metabolism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-12.76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R-HSA-381426</w:t>
            </w:r>
          </w:p>
        </w:tc>
        <w:tc>
          <w:tcPr>
            <w:tcW w:w="5300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Regulation of Insulin-like Growth Factor transport and uptake by Insulin-like Growth Factor Bi</w:t>
            </w:r>
          </w:p>
        </w:tc>
        <w:tc>
          <w:tcPr>
            <w:tcW w:w="953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8</w:t>
            </w:r>
          </w:p>
        </w:tc>
        <w:tc>
          <w:tcPr>
            <w:tcW w:w="1315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-12.73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GO:0006625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Protein targeting to peroxisome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-12.62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GO:0072662</w:t>
            </w:r>
          </w:p>
        </w:tc>
        <w:tc>
          <w:tcPr>
            <w:tcW w:w="5300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Protein localization to peroxisome</w:t>
            </w:r>
          </w:p>
        </w:tc>
        <w:tc>
          <w:tcPr>
            <w:tcW w:w="953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315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-12.62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GO:0072663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Establishment of protein localization to peroxisome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-12.62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GO:0043574</w:t>
            </w:r>
          </w:p>
        </w:tc>
        <w:tc>
          <w:tcPr>
            <w:tcW w:w="5300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Peroxisomal transport</w:t>
            </w:r>
          </w:p>
        </w:tc>
        <w:tc>
          <w:tcPr>
            <w:tcW w:w="953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315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-12.57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GO:0007031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Peroxisome organization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-12.07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hsa04146</w:t>
            </w:r>
          </w:p>
        </w:tc>
        <w:tc>
          <w:tcPr>
            <w:tcW w:w="5300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Peroxisome</w:t>
            </w:r>
          </w:p>
        </w:tc>
        <w:tc>
          <w:tcPr>
            <w:tcW w:w="953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7</w:t>
            </w:r>
          </w:p>
        </w:tc>
        <w:tc>
          <w:tcPr>
            <w:tcW w:w="1315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-11.99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GO:0019369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Arachidonic acid metabolic process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-11.14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GO:0008202</w:t>
            </w:r>
          </w:p>
        </w:tc>
        <w:tc>
          <w:tcPr>
            <w:tcW w:w="5300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Steroid metabolic process</w:t>
            </w:r>
          </w:p>
        </w:tc>
        <w:tc>
          <w:tcPr>
            <w:tcW w:w="953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9</w:t>
            </w:r>
          </w:p>
        </w:tc>
        <w:tc>
          <w:tcPr>
            <w:tcW w:w="1315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-10.98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GO:0042738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Exogenous drug catabolic process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-10.69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R-HSA-211981</w:t>
            </w:r>
          </w:p>
        </w:tc>
        <w:tc>
          <w:tcPr>
            <w:tcW w:w="5300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Xenobiotics</w:t>
            </w:r>
          </w:p>
        </w:tc>
        <w:tc>
          <w:tcPr>
            <w:tcW w:w="953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5</w:t>
            </w:r>
          </w:p>
        </w:tc>
        <w:tc>
          <w:tcPr>
            <w:tcW w:w="1315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-10.59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R-HSA-211897</w:t>
            </w:r>
          </w:p>
        </w:tc>
        <w:tc>
          <w:tcPr>
            <w:tcW w:w="5300" w:type="dxa"/>
            <w:shd w:val="clear" w:color="auto" w:fill="auto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Cytochrome P450 - arranged by substrate type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6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-10.49</w:t>
            </w:r>
          </w:p>
        </w:tc>
      </w:tr>
      <w:tr w:rsidR="00FE3005" w:rsidRPr="00DB5FD4" w:rsidTr="00EF4A18">
        <w:trPr>
          <w:jc w:val="center"/>
        </w:trPr>
        <w:tc>
          <w:tcPr>
            <w:tcW w:w="1664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R-HSA-2142670</w:t>
            </w:r>
          </w:p>
        </w:tc>
        <w:tc>
          <w:tcPr>
            <w:tcW w:w="5300" w:type="dxa"/>
            <w:shd w:val="clear" w:color="auto" w:fill="F1F1F1"/>
            <w:vAlign w:val="bottom"/>
          </w:tcPr>
          <w:p w:rsidR="00FE3005" w:rsidRDefault="00FE3005" w:rsidP="00EF4A18">
            <w:pPr>
              <w:widowControl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 xml:space="preserve">Synthesis of epoxy and dihydroxyeicosatrienoic acids </w:t>
            </w:r>
          </w:p>
        </w:tc>
        <w:tc>
          <w:tcPr>
            <w:tcW w:w="953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4</w:t>
            </w:r>
          </w:p>
        </w:tc>
        <w:tc>
          <w:tcPr>
            <w:tcW w:w="1315" w:type="dxa"/>
            <w:shd w:val="clear" w:color="auto" w:fill="F1F1F1"/>
            <w:vAlign w:val="center"/>
          </w:tcPr>
          <w:p w:rsidR="00FE3005" w:rsidRDefault="00FE3005" w:rsidP="00EF4A18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bidi="ar"/>
              </w:rPr>
              <w:t>-10.36</w:t>
            </w:r>
          </w:p>
        </w:tc>
      </w:tr>
    </w:tbl>
    <w:p w:rsidR="00FE3005" w:rsidRDefault="00FE3005" w:rsidP="00FE3005">
      <w:pPr>
        <w:widowControl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 w:cs="宋体"/>
          <w:lang w:bidi="ar"/>
        </w:rPr>
        <w:t>Abbreviations: GO, gene ontology.</w:t>
      </w:r>
    </w:p>
    <w:p w:rsidR="00FE3005" w:rsidRDefault="00FE3005" w:rsidP="00FE3005">
      <w:pPr>
        <w:widowControl/>
        <w:spacing w:line="360" w:lineRule="auto"/>
        <w:jc w:val="left"/>
        <w:rPr>
          <w:rFonts w:ascii="Times New Roman" w:hAnsi="Times New Roman" w:cs="宋体"/>
        </w:rPr>
      </w:pPr>
      <w:r>
        <w:rPr>
          <w:rFonts w:ascii="Times New Roman" w:hAnsi="Times New Roman" w:cs="宋体"/>
          <w:lang w:bidi="ar"/>
        </w:rPr>
        <w:t xml:space="preserve"> </w:t>
      </w:r>
    </w:p>
    <w:p w:rsidR="00F80F94" w:rsidRDefault="00F80F94"/>
    <w:sectPr w:rsidR="00F80F94" w:rsidSect="00FE3005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640" w:rsidRDefault="00084640" w:rsidP="00EB5D55">
      <w:r>
        <w:separator/>
      </w:r>
    </w:p>
  </w:endnote>
  <w:endnote w:type="continuationSeparator" w:id="0">
    <w:p w:rsidR="00084640" w:rsidRDefault="00084640" w:rsidP="00EB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640" w:rsidRDefault="00084640" w:rsidP="00EB5D55">
      <w:r>
        <w:separator/>
      </w:r>
    </w:p>
  </w:footnote>
  <w:footnote w:type="continuationSeparator" w:id="0">
    <w:p w:rsidR="00084640" w:rsidRDefault="00084640" w:rsidP="00EB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05"/>
    <w:rsid w:val="00084640"/>
    <w:rsid w:val="00EB5D55"/>
    <w:rsid w:val="00F80F94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E6D89F-F406-46B9-AE43-386D9D8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05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5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5D5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5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5D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2020-01-12T17:23:00Z</dcterms:created>
  <dcterms:modified xsi:type="dcterms:W3CDTF">2020-01-12T18:26:00Z</dcterms:modified>
</cp:coreProperties>
</file>