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41" w:rsidRPr="005C3F49" w:rsidRDefault="005C3F49">
      <w:pP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 w:rsidRPr="005C3F49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Association of weaning preparedness with extubation outcome of mechanically ventilated patients in medical intensive care units: a retrospective analysis</w:t>
      </w:r>
    </w:p>
    <w:p w:rsidR="005C3F49" w:rsidRPr="005C3F49" w:rsidRDefault="005C3F49">
      <w:pPr>
        <w:rPr>
          <w:rFonts w:ascii="Times New Roman" w:hAnsi="Times New Roman" w:cs="Times New Roman"/>
        </w:rPr>
      </w:pPr>
    </w:p>
    <w:p w:rsidR="005C3F49" w:rsidRPr="005C3F49" w:rsidRDefault="005C3F49">
      <w:pPr>
        <w:rPr>
          <w:rFonts w:ascii="Times New Roman" w:hAnsi="Times New Roman" w:cs="Times New Roman"/>
        </w:rPr>
      </w:pPr>
    </w:p>
    <w:p w:rsidR="005C3F49" w:rsidRPr="005C3F49" w:rsidRDefault="005C3F49" w:rsidP="0088476A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5C3F49">
        <w:rPr>
          <w:rFonts w:ascii="Times New Roman" w:hAnsi="Times New Roman" w:cs="Times New Roman"/>
          <w:b/>
          <w:sz w:val="32"/>
        </w:rPr>
        <w:t>RESULTS</w:t>
      </w:r>
    </w:p>
    <w:p w:rsidR="005C3F49" w:rsidRDefault="005C3F49" w:rsidP="0088476A">
      <w:pPr>
        <w:spacing w:line="360" w:lineRule="auto"/>
        <w:rPr>
          <w:rFonts w:ascii="Times New Roman" w:hAnsi="Times New Roman" w:cs="Times New Roman"/>
        </w:rPr>
      </w:pPr>
      <w:r w:rsidRPr="005C3F49">
        <w:rPr>
          <w:rFonts w:ascii="Times New Roman" w:hAnsi="Times New Roman" w:cs="Times New Roman" w:hint="eastAsia"/>
        </w:rPr>
        <w:t>For sensitivity analysis, we separated the item</w:t>
      </w:r>
      <w:r>
        <w:rPr>
          <w:rFonts w:ascii="Times New Roman" w:hAnsi="Times New Roman" w:cs="Times New Roman"/>
        </w:rPr>
        <w:t xml:space="preserve"> ‘</w:t>
      </w:r>
      <w:r w:rsidRPr="005C3F49">
        <w:rPr>
          <w:rFonts w:ascii="Times New Roman" w:hAnsi="Times New Roman" w:cs="Times New Roman" w:hint="eastAsia"/>
        </w:rPr>
        <w:t>wakefulness</w:t>
      </w:r>
      <w:r>
        <w:rPr>
          <w:rFonts w:ascii="Times New Roman" w:hAnsi="Times New Roman" w:cs="Times New Roman"/>
        </w:rPr>
        <w:t xml:space="preserve">’ </w:t>
      </w:r>
      <w:r w:rsidRPr="005C3F49">
        <w:rPr>
          <w:rFonts w:ascii="Times New Roman" w:hAnsi="Times New Roman" w:cs="Times New Roman" w:hint="eastAsia"/>
        </w:rPr>
        <w:t>from the WS score in the multivariate analysis. Logistic regression showed that the</w:t>
      </w:r>
      <w:r>
        <w:rPr>
          <w:rFonts w:ascii="Times New Roman" w:hAnsi="Times New Roman" w:cs="Times New Roman"/>
        </w:rPr>
        <w:t xml:space="preserve"> ‘</w:t>
      </w:r>
      <w:r w:rsidRPr="005C3F49">
        <w:rPr>
          <w:rFonts w:ascii="Times New Roman" w:hAnsi="Times New Roman" w:cs="Times New Roman" w:hint="eastAsia"/>
        </w:rPr>
        <w:t>total WS minus the wakefulness score 1</w:t>
      </w:r>
      <w:r>
        <w:rPr>
          <w:rFonts w:ascii="Times New Roman" w:hAnsi="Times New Roman" w:cs="Times New Roman"/>
        </w:rPr>
        <w:t>’</w:t>
      </w:r>
      <w:r w:rsidRPr="005C3F49">
        <w:rPr>
          <w:rFonts w:ascii="Times New Roman" w:hAnsi="Times New Roman" w:cs="Times New Roman" w:hint="eastAsia"/>
        </w:rPr>
        <w:t xml:space="preserve"> </w:t>
      </w:r>
      <w:r w:rsidR="001B3870">
        <w:rPr>
          <w:rFonts w:ascii="Times New Roman" w:hAnsi="Times New Roman" w:cs="Times New Roman"/>
        </w:rPr>
        <w:t>(</w:t>
      </w:r>
      <w:r w:rsidR="00D24E6B">
        <w:rPr>
          <w:rFonts w:ascii="Times New Roman" w:hAnsi="Times New Roman" w:cs="Times New Roman"/>
        </w:rPr>
        <w:t xml:space="preserve">designated as </w:t>
      </w:r>
      <w:bookmarkStart w:id="0" w:name="_GoBack"/>
      <w:bookmarkEnd w:id="0"/>
      <w:r w:rsidR="001B3870">
        <w:rPr>
          <w:rFonts w:ascii="Times New Roman" w:hAnsi="Times New Roman" w:cs="Times New Roman"/>
        </w:rPr>
        <w:t xml:space="preserve">‘WEANSNO score’ in Table 1S) </w:t>
      </w:r>
      <w:r w:rsidRPr="005C3F49">
        <w:rPr>
          <w:rFonts w:ascii="Times New Roman" w:hAnsi="Times New Roman" w:cs="Times New Roman" w:hint="eastAsia"/>
        </w:rPr>
        <w:t>remained a significant associating factor for extubation failu</w:t>
      </w:r>
      <w:r w:rsidRPr="005C3F49">
        <w:rPr>
          <w:rFonts w:ascii="Times New Roman" w:hAnsi="Times New Roman" w:cs="Times New Roman"/>
        </w:rPr>
        <w:t>re (OR=3.552, 95% CI=1.548-8.150, p=0.003), along with intubation duration &gt; 21 days (OR=7.862, 95% CI=3.507 -17.623, p&lt;0.001). In contrast, wakefulness was not independently associated with extubation failure in this study group (OR=1.372, 95% CI=0.630-2.991, p=0.426) (Table 1S).</w:t>
      </w:r>
    </w:p>
    <w:p w:rsidR="005C3F49" w:rsidRDefault="005C3F49">
      <w:pPr>
        <w:rPr>
          <w:rFonts w:ascii="Times New Roman" w:hAnsi="Times New Roman" w:cs="Times New Roman"/>
        </w:rPr>
      </w:pPr>
    </w:p>
    <w:p w:rsidR="005C3F49" w:rsidRDefault="005C3F4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C3F49" w:rsidRPr="005C3F49" w:rsidRDefault="005C3F49">
      <w:pPr>
        <w:rPr>
          <w:rFonts w:ascii="Times New Roman" w:hAnsi="Times New Roman" w:cs="Times New Roman"/>
          <w:b/>
          <w:sz w:val="32"/>
        </w:rPr>
      </w:pPr>
      <w:r w:rsidRPr="005C3F49">
        <w:rPr>
          <w:rFonts w:ascii="Times New Roman" w:hAnsi="Times New Roman" w:cs="Times New Roman" w:hint="eastAsia"/>
          <w:b/>
          <w:sz w:val="32"/>
        </w:rPr>
        <w:lastRenderedPageBreak/>
        <w:t>T</w:t>
      </w:r>
      <w:r w:rsidRPr="005C3F49">
        <w:rPr>
          <w:rFonts w:ascii="Times New Roman" w:hAnsi="Times New Roman" w:cs="Times New Roman"/>
          <w:b/>
          <w:sz w:val="32"/>
        </w:rPr>
        <w:t>ABLE</w:t>
      </w:r>
    </w:p>
    <w:p w:rsidR="005C3F49" w:rsidRPr="00E61D11" w:rsidRDefault="005C3F49" w:rsidP="005C3F49">
      <w:pPr>
        <w:pStyle w:val="Normal1"/>
        <w:spacing w:line="24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E61D11">
        <w:rPr>
          <w:rFonts w:ascii="Times New Roman" w:hAnsi="Times New Roman" w:cs="Times New Roman" w:hint="eastAsia"/>
          <w:b/>
        </w:rPr>
        <w:t>T</w:t>
      </w:r>
      <w:r w:rsidRPr="00E61D11">
        <w:rPr>
          <w:rFonts w:ascii="Times New Roman" w:hAnsi="Times New Roman" w:cs="Times New Roman"/>
          <w:b/>
        </w:rPr>
        <w:t>able 1S</w:t>
      </w:r>
      <w:r w:rsidRPr="00E61D11">
        <w:rPr>
          <w:rFonts w:ascii="Times New Roman" w:hAnsi="Times New Roman" w:cs="Times New Roman"/>
          <w:lang w:val="en-US"/>
        </w:rPr>
        <w:t>.</w:t>
      </w:r>
      <w:r w:rsidRPr="00E61D11">
        <w:rPr>
          <w:rFonts w:ascii="Times New Roman" w:hAnsi="Times New Roman" w:cs="Times New Roman"/>
        </w:rPr>
        <w:t xml:space="preserve"> </w:t>
      </w:r>
      <w:r w:rsidRPr="00E61D11">
        <w:rPr>
          <w:rFonts w:ascii="Times New Roman" w:eastAsia="Calibri" w:hAnsi="Times New Roman" w:cs="Times New Roman"/>
          <w:b/>
          <w:color w:val="000000" w:themeColor="text1"/>
          <w:lang w:val="en-US"/>
        </w:rPr>
        <w:t>Multivariate logistic regression analysis of the factors and variables associated with extubation failure</w:t>
      </w:r>
      <w:r w:rsidRPr="00E61D1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</w:p>
    <w:p w:rsidR="005C3F49" w:rsidRPr="004A59C9" w:rsidRDefault="005C3F49" w:rsidP="005C3F49">
      <w:pPr>
        <w:pStyle w:val="Normal1"/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1417"/>
        <w:gridCol w:w="1134"/>
        <w:gridCol w:w="1591"/>
        <w:gridCol w:w="998"/>
      </w:tblGrid>
      <w:tr w:rsidR="005C3F49" w:rsidRPr="004A59C9" w:rsidTr="0002145A">
        <w:trPr>
          <w:trHeight w:val="15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95% CI</w:t>
            </w:r>
          </w:p>
        </w:tc>
        <w:tc>
          <w:tcPr>
            <w:tcW w:w="9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jc w:val="righ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p-value</w:t>
            </w:r>
          </w:p>
        </w:tc>
      </w:tr>
      <w:tr w:rsidR="005C3F49" w:rsidRPr="004A59C9" w:rsidTr="0002145A">
        <w:trPr>
          <w:trHeight w:val="24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 w:hint="eastAsia"/>
                <w:color w:val="000000" w:themeColor="text1"/>
                <w:sz w:val="18"/>
                <w:szCs w:val="18"/>
                <w:lang w:val="en-US"/>
              </w:rPr>
              <w:t>H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eart failure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76" w:firstLineChars="13" w:firstLine="23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75 (36.6%)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</w:t>
            </w:r>
            <w:r w:rsidR="004A5F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589</w:t>
            </w: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0.2</w:t>
            </w:r>
            <w:r w:rsidR="004A5F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65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-1.3</w:t>
            </w:r>
            <w:r w:rsidR="004A5F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9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4A5FC6" w:rsidP="0002145A">
            <w:pPr>
              <w:pStyle w:val="Normal1"/>
              <w:spacing w:line="240" w:lineRule="auto"/>
              <w:ind w:left="100"/>
              <w:jc w:val="righ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0.193</w:t>
            </w:r>
          </w:p>
        </w:tc>
      </w:tr>
      <w:tr w:rsidR="005C3F49" w:rsidRPr="004A59C9" w:rsidTr="0002145A">
        <w:trPr>
          <w:trHeight w:val="24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 w:hint="eastAsia"/>
                <w:color w:val="000000" w:themeColor="text1"/>
                <w:sz w:val="18"/>
                <w:szCs w:val="18"/>
                <w:lang w:val="en-US"/>
              </w:rPr>
              <w:t>T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ype 1 or Type 2 respiratory failure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tabs>
                <w:tab w:val="left" w:pos="884"/>
              </w:tabs>
              <w:spacing w:line="240" w:lineRule="auto"/>
              <w:ind w:left="76" w:firstLineChars="13" w:firstLine="23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143 (69.8%)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0.533</w:t>
            </w: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0.25</w:t>
            </w:r>
            <w:r w:rsidR="004A5F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 w:rsidR="004A5F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  <w:r w:rsidR="004A5F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191</w:t>
            </w:r>
          </w:p>
        </w:tc>
        <w:tc>
          <w:tcPr>
            <w:tcW w:w="9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4A5FC6" w:rsidP="0002145A">
            <w:pPr>
              <w:pStyle w:val="Normal1"/>
              <w:spacing w:line="240" w:lineRule="auto"/>
              <w:ind w:left="100"/>
              <w:jc w:val="righ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0.130</w:t>
            </w:r>
          </w:p>
        </w:tc>
      </w:tr>
      <w:tr w:rsidR="005C3F49" w:rsidRPr="004A59C9" w:rsidTr="0002145A">
        <w:trPr>
          <w:trHeight w:val="24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 w:hint="eastAsia"/>
                <w:color w:val="000000" w:themeColor="text1"/>
                <w:sz w:val="18"/>
                <w:szCs w:val="18"/>
                <w:lang w:val="en-US"/>
              </w:rPr>
              <w:t>I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ntubation days &gt; 21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tabs>
                <w:tab w:val="left" w:pos="884"/>
              </w:tabs>
              <w:spacing w:line="240" w:lineRule="auto"/>
              <w:ind w:left="76" w:firstLineChars="13" w:firstLine="23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53 (25.9%)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4A5FC6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7.862</w:t>
            </w: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3.5</w:t>
            </w:r>
            <w:r w:rsidR="004A5F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07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-1</w:t>
            </w:r>
            <w:r w:rsidR="004A5F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7.623</w:t>
            </w:r>
          </w:p>
        </w:tc>
        <w:tc>
          <w:tcPr>
            <w:tcW w:w="9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jc w:val="righ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 w:hint="eastAsia"/>
                <w:color w:val="000000" w:themeColor="text1"/>
                <w:sz w:val="18"/>
                <w:szCs w:val="18"/>
                <w:lang w:val="en-US"/>
              </w:rPr>
              <w:t>&lt;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0.001</w:t>
            </w:r>
          </w:p>
        </w:tc>
      </w:tr>
      <w:tr w:rsidR="005C3F49" w:rsidRPr="004A59C9" w:rsidTr="0002145A">
        <w:trPr>
          <w:trHeight w:val="24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MIP 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  <w:lang w:val="en-US"/>
              </w:rPr>
              <w:t>≤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-20 cmH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O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76" w:firstLineChars="13" w:firstLine="23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189 (92.2%)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</w:t>
            </w:r>
            <w:r w:rsidR="004A5F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655</w:t>
            </w: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0.1</w:t>
            </w:r>
            <w:r w:rsidR="004A5F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58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-2.</w:t>
            </w:r>
            <w:r w:rsidR="004A5F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710</w:t>
            </w:r>
          </w:p>
        </w:tc>
        <w:tc>
          <w:tcPr>
            <w:tcW w:w="9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4A5FC6" w:rsidP="0002145A">
            <w:pPr>
              <w:pStyle w:val="Normal1"/>
              <w:spacing w:line="240" w:lineRule="auto"/>
              <w:ind w:left="100"/>
              <w:jc w:val="righ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0.559</w:t>
            </w:r>
          </w:p>
        </w:tc>
      </w:tr>
      <w:tr w:rsidR="005C3F49" w:rsidRPr="004A59C9" w:rsidTr="0002145A">
        <w:trPr>
          <w:trHeight w:val="24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MEP 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  <w:lang w:val="en-US"/>
              </w:rPr>
              <w:t>≥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30 cmH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O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76" w:firstLineChars="13" w:firstLine="23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157 (76.6%)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4A5FC6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1.198</w:t>
            </w: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0.4</w:t>
            </w:r>
            <w:r w:rsidR="004A5F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60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 w:rsidR="004A5FC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3.122</w:t>
            </w:r>
          </w:p>
        </w:tc>
        <w:tc>
          <w:tcPr>
            <w:tcW w:w="9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4A5FC6" w:rsidP="0002145A">
            <w:pPr>
              <w:pStyle w:val="Normal1"/>
              <w:spacing w:line="240" w:lineRule="auto"/>
              <w:ind w:left="100"/>
              <w:jc w:val="righ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0.711</w:t>
            </w:r>
          </w:p>
        </w:tc>
      </w:tr>
      <w:tr w:rsidR="005C3F49" w:rsidRPr="004A59C9" w:rsidTr="0002145A">
        <w:trPr>
          <w:trHeight w:val="24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RSBI&lt;105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76" w:firstLineChars="13" w:firstLine="23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26 (13.3%)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4A5FC6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0.487</w:t>
            </w: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4A5FC6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0.161-1.473</w:t>
            </w:r>
          </w:p>
        </w:tc>
        <w:tc>
          <w:tcPr>
            <w:tcW w:w="9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4A5FC6" w:rsidP="0002145A">
            <w:pPr>
              <w:pStyle w:val="Normal1"/>
              <w:spacing w:line="240" w:lineRule="auto"/>
              <w:ind w:left="100"/>
              <w:jc w:val="righ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0.203</w:t>
            </w:r>
          </w:p>
        </w:tc>
      </w:tr>
      <w:tr w:rsidR="005C3F49" w:rsidRPr="004A59C9" w:rsidTr="0002145A">
        <w:trPr>
          <w:trHeight w:val="24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5C3F49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WEANS NO score 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  <w:lang w:val="en-US"/>
              </w:rPr>
              <w:t>≥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E61D11" w:rsidP="0002145A">
            <w:pPr>
              <w:pStyle w:val="Normal1"/>
              <w:spacing w:line="240" w:lineRule="auto"/>
              <w:ind w:left="76" w:firstLineChars="13" w:firstLine="23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74 </w:t>
            </w:r>
            <w:r w:rsidR="005C3F49"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36.1</w:t>
            </w:r>
            <w:r w:rsidR="005C3F49" w:rsidRPr="004A59C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%)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C610B0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3.552</w:t>
            </w: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C610B0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1.548-8.150</w:t>
            </w:r>
          </w:p>
        </w:tc>
        <w:tc>
          <w:tcPr>
            <w:tcW w:w="9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F49" w:rsidRPr="004A59C9" w:rsidRDefault="00C610B0" w:rsidP="0002145A">
            <w:pPr>
              <w:pStyle w:val="Normal1"/>
              <w:spacing w:line="240" w:lineRule="auto"/>
              <w:ind w:left="100"/>
              <w:jc w:val="righ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0.003</w:t>
            </w:r>
          </w:p>
        </w:tc>
      </w:tr>
      <w:tr w:rsidR="00C610B0" w:rsidRPr="004A59C9" w:rsidTr="0002145A">
        <w:trPr>
          <w:trHeight w:val="24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0B0" w:rsidRPr="004A59C9" w:rsidRDefault="00C610B0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 w:hint="eastAsi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‘Wakefulness’ score=1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0B0" w:rsidRPr="004A59C9" w:rsidRDefault="00E61D11" w:rsidP="0002145A">
            <w:pPr>
              <w:pStyle w:val="Normal1"/>
              <w:spacing w:line="240" w:lineRule="auto"/>
              <w:ind w:left="76" w:firstLineChars="13" w:firstLine="23"/>
              <w:rPr>
                <w:rFonts w:ascii="Times New Roman" w:eastAsia="Calibri" w:hAnsi="Times New Roman" w:cs="Times New Roman" w:hint="eastAsi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 w:hint="eastAsia"/>
                <w:color w:val="000000" w:themeColor="text1"/>
                <w:sz w:val="18"/>
                <w:szCs w:val="1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8 (33.2%)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0B0" w:rsidRDefault="00C610B0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 w:hint="eastAsi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 w:hint="eastAsia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.372</w:t>
            </w: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0B0" w:rsidRDefault="00C610B0" w:rsidP="0002145A">
            <w:pPr>
              <w:pStyle w:val="Normal1"/>
              <w:spacing w:line="240" w:lineRule="auto"/>
              <w:ind w:left="100"/>
              <w:rPr>
                <w:rFonts w:ascii="Times New Roman" w:eastAsia="Calibri" w:hAnsi="Times New Roman" w:cs="Times New Roman" w:hint="eastAsi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 w:hint="eastAsia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.630-2.991</w:t>
            </w:r>
          </w:p>
        </w:tc>
        <w:tc>
          <w:tcPr>
            <w:tcW w:w="9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0B0" w:rsidRDefault="00C610B0" w:rsidP="0002145A">
            <w:pPr>
              <w:pStyle w:val="Normal1"/>
              <w:spacing w:line="240" w:lineRule="auto"/>
              <w:ind w:left="100"/>
              <w:jc w:val="right"/>
              <w:rPr>
                <w:rFonts w:ascii="Times New Roman" w:eastAsia="Calibri" w:hAnsi="Times New Roman" w:cs="Times New Roman" w:hint="eastAsi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 w:hint="eastAsia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.426</w:t>
            </w:r>
          </w:p>
        </w:tc>
      </w:tr>
    </w:tbl>
    <w:p w:rsidR="005C3F49" w:rsidRPr="004A59C9" w:rsidRDefault="005C3F49" w:rsidP="005C3F49">
      <w:pPr>
        <w:pStyle w:val="Normal1"/>
        <w:adjustRightInd w:val="0"/>
        <w:snapToGrid w:val="0"/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</w:p>
    <w:p w:rsidR="005C3F49" w:rsidRPr="004A59C9" w:rsidRDefault="005C3F49" w:rsidP="005C3F49">
      <w:pPr>
        <w:pStyle w:val="Normal1"/>
        <w:adjustRightInd w:val="0"/>
        <w:snapToGrid w:val="0"/>
        <w:spacing w:line="240" w:lineRule="auto"/>
        <w:contextualSpacing/>
        <w:rPr>
          <w:rFonts w:eastAsia="Calibri"/>
          <w:b/>
          <w:color w:val="000000" w:themeColor="text1"/>
          <w:sz w:val="24"/>
          <w:szCs w:val="24"/>
          <w:lang w:val="en-US"/>
        </w:rPr>
      </w:pPr>
      <w:r w:rsidRPr="004A59C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MIP: maximum inspiratory pressure; MEP: maximum expiratory pressure; RSBI: rapid shallow breathing index; OR: odds ratio; CI: confidence interval</w:t>
      </w:r>
    </w:p>
    <w:p w:rsidR="005C3F49" w:rsidRPr="005C3F49" w:rsidRDefault="005C3F49">
      <w:pPr>
        <w:rPr>
          <w:rFonts w:ascii="Times New Roman" w:hAnsi="Times New Roman" w:cs="Times New Roman" w:hint="eastAsia"/>
        </w:rPr>
      </w:pPr>
    </w:p>
    <w:sectPr w:rsidR="005C3F49" w:rsidRPr="005C3F49" w:rsidSect="0050785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49"/>
    <w:rsid w:val="00072788"/>
    <w:rsid w:val="000C3FAB"/>
    <w:rsid w:val="001206C7"/>
    <w:rsid w:val="00124A01"/>
    <w:rsid w:val="001460E2"/>
    <w:rsid w:val="00165A01"/>
    <w:rsid w:val="0016744B"/>
    <w:rsid w:val="00175461"/>
    <w:rsid w:val="001A718E"/>
    <w:rsid w:val="001B3870"/>
    <w:rsid w:val="001D1D2C"/>
    <w:rsid w:val="001E47C9"/>
    <w:rsid w:val="0021001E"/>
    <w:rsid w:val="00253566"/>
    <w:rsid w:val="002A4048"/>
    <w:rsid w:val="002F1204"/>
    <w:rsid w:val="0034149F"/>
    <w:rsid w:val="00341A13"/>
    <w:rsid w:val="003609D9"/>
    <w:rsid w:val="003E33EE"/>
    <w:rsid w:val="003F597B"/>
    <w:rsid w:val="004009DE"/>
    <w:rsid w:val="00415AC9"/>
    <w:rsid w:val="00440610"/>
    <w:rsid w:val="004A10B5"/>
    <w:rsid w:val="004A5FC6"/>
    <w:rsid w:val="004B56CE"/>
    <w:rsid w:val="004B5873"/>
    <w:rsid w:val="004C1AFC"/>
    <w:rsid w:val="004F522E"/>
    <w:rsid w:val="00503D9D"/>
    <w:rsid w:val="00507852"/>
    <w:rsid w:val="005372F1"/>
    <w:rsid w:val="005439C8"/>
    <w:rsid w:val="005908F9"/>
    <w:rsid w:val="005C3F49"/>
    <w:rsid w:val="005F4C02"/>
    <w:rsid w:val="00602D44"/>
    <w:rsid w:val="006363AB"/>
    <w:rsid w:val="00666FCE"/>
    <w:rsid w:val="00674F2B"/>
    <w:rsid w:val="006A0A89"/>
    <w:rsid w:val="006D399C"/>
    <w:rsid w:val="006E6798"/>
    <w:rsid w:val="006E6CFC"/>
    <w:rsid w:val="0077206F"/>
    <w:rsid w:val="007A7860"/>
    <w:rsid w:val="008544A1"/>
    <w:rsid w:val="00860837"/>
    <w:rsid w:val="008670A3"/>
    <w:rsid w:val="008773A7"/>
    <w:rsid w:val="008845BC"/>
    <w:rsid w:val="0088476A"/>
    <w:rsid w:val="008A4148"/>
    <w:rsid w:val="008B391D"/>
    <w:rsid w:val="008D5D76"/>
    <w:rsid w:val="008D6284"/>
    <w:rsid w:val="008F48C7"/>
    <w:rsid w:val="009038A4"/>
    <w:rsid w:val="00912D34"/>
    <w:rsid w:val="0093062A"/>
    <w:rsid w:val="009360AC"/>
    <w:rsid w:val="00951F3A"/>
    <w:rsid w:val="009B1E79"/>
    <w:rsid w:val="009B2A76"/>
    <w:rsid w:val="009B7C50"/>
    <w:rsid w:val="009F56E9"/>
    <w:rsid w:val="00A103D4"/>
    <w:rsid w:val="00A90921"/>
    <w:rsid w:val="00AC54CF"/>
    <w:rsid w:val="00AD275F"/>
    <w:rsid w:val="00AD2C40"/>
    <w:rsid w:val="00AF24B2"/>
    <w:rsid w:val="00AF376C"/>
    <w:rsid w:val="00AF44C5"/>
    <w:rsid w:val="00B232E0"/>
    <w:rsid w:val="00B365F8"/>
    <w:rsid w:val="00B60784"/>
    <w:rsid w:val="00B848CA"/>
    <w:rsid w:val="00BA4020"/>
    <w:rsid w:val="00BC54E9"/>
    <w:rsid w:val="00C24891"/>
    <w:rsid w:val="00C46661"/>
    <w:rsid w:val="00C60AFA"/>
    <w:rsid w:val="00C60F34"/>
    <w:rsid w:val="00C610B0"/>
    <w:rsid w:val="00C73498"/>
    <w:rsid w:val="00C816F9"/>
    <w:rsid w:val="00C93AF5"/>
    <w:rsid w:val="00CD792B"/>
    <w:rsid w:val="00CE26F5"/>
    <w:rsid w:val="00D0157B"/>
    <w:rsid w:val="00D20219"/>
    <w:rsid w:val="00D24E6B"/>
    <w:rsid w:val="00D37636"/>
    <w:rsid w:val="00D40050"/>
    <w:rsid w:val="00D833BC"/>
    <w:rsid w:val="00DA4D00"/>
    <w:rsid w:val="00DA60AA"/>
    <w:rsid w:val="00DF09BC"/>
    <w:rsid w:val="00E02F3D"/>
    <w:rsid w:val="00E47591"/>
    <w:rsid w:val="00E61D11"/>
    <w:rsid w:val="00E957AB"/>
    <w:rsid w:val="00EA5F17"/>
    <w:rsid w:val="00ED7232"/>
    <w:rsid w:val="00EE229E"/>
    <w:rsid w:val="00EE4C9B"/>
    <w:rsid w:val="00F06F88"/>
    <w:rsid w:val="00F24AC8"/>
    <w:rsid w:val="00F34E3C"/>
    <w:rsid w:val="00F47476"/>
    <w:rsid w:val="00F51BAF"/>
    <w:rsid w:val="00FD3B1B"/>
    <w:rsid w:val="00FE2D33"/>
    <w:rsid w:val="00FF48A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A381"/>
  <w15:chartTrackingRefBased/>
  <w15:docId w15:val="{6396FEFF-6846-6447-A715-013952D0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C3F49"/>
    <w:pPr>
      <w:spacing w:line="276" w:lineRule="auto"/>
    </w:pPr>
    <w:rPr>
      <w:rFonts w:ascii="Arial" w:hAnsi="Arial" w:cs="Arial"/>
      <w:kern w:val="0"/>
      <w:sz w:val="22"/>
      <w:szCs w:val="2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2020-02-01T03:38:00Z</dcterms:created>
  <dcterms:modified xsi:type="dcterms:W3CDTF">2020-02-01T04:05:00Z</dcterms:modified>
</cp:coreProperties>
</file>