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F030D" w:rsidRDefault="001F030D" w:rsidP="001F030D">
      <w:pPr>
        <w:pStyle w:val="Heading2"/>
      </w:pPr>
      <w:r>
        <w:t>Supplementary Information</w:t>
      </w:r>
    </w:p>
    <w:p w:rsidR="001F030D" w:rsidRDefault="001F030D" w:rsidP="001F030D">
      <w:pPr>
        <w:pStyle w:val="Heading3"/>
      </w:pPr>
      <w:r>
        <w:t xml:space="preserve">SI1: </w:t>
      </w:r>
      <w:r w:rsidR="00BC3F4D">
        <w:t>Model s</w:t>
      </w:r>
      <w:r>
        <w:t>patial random fields</w:t>
      </w:r>
    </w:p>
    <w:p w:rsidR="001F030D" w:rsidRDefault="00C0529B" w:rsidP="00C0529B">
      <w:r w:rsidRPr="00C0529B">
        <w:rPr>
          <w:rFonts w:ascii="Helvetica" w:eastAsia="Times New Roman" w:hAnsi="Helvetica" w:cs="Helvetica"/>
          <w:sz w:val="20"/>
          <w:szCs w:val="20"/>
          <w:lang w:eastAsia="en-GB"/>
        </w:rPr>
        <w:t>The random fields</w:t>
      </w:r>
      <w:r w:rsidR="009C2168">
        <w:rPr>
          <w:rFonts w:ascii="Helvetica" w:eastAsia="Times New Roman" w:hAnsi="Helvetica" w:cs="Helvetica"/>
          <w:sz w:val="20"/>
          <w:szCs w:val="20"/>
          <w:lang w:eastAsia="en-GB"/>
        </w:rPr>
        <w:t xml:space="preserve"> below</w:t>
      </w:r>
      <w:r w:rsidRPr="00C0529B">
        <w:rPr>
          <w:rFonts w:ascii="Helvetica" w:eastAsia="Times New Roman" w:hAnsi="Helvetica" w:cs="Helvetica"/>
          <w:sz w:val="20"/>
          <w:szCs w:val="20"/>
          <w:lang w:eastAsia="en-GB"/>
        </w:rPr>
        <w:t xml:space="preserve"> plot the spatial autocorrelation that</w:t>
      </w:r>
      <w:r>
        <w:rPr>
          <w:rFonts w:ascii="Helvetica" w:eastAsia="Times New Roman" w:hAnsi="Helvetica" w:cs="Helvetica"/>
          <w:sz w:val="20"/>
          <w:szCs w:val="20"/>
          <w:lang w:eastAsia="en-GB"/>
        </w:rPr>
        <w:t xml:space="preserve"> is estimated to remain</w:t>
      </w:r>
      <w:r w:rsidRPr="00C0529B">
        <w:rPr>
          <w:rFonts w:ascii="Helvetica" w:eastAsia="Times New Roman" w:hAnsi="Helvetica" w:cs="Helvetica"/>
          <w:sz w:val="20"/>
          <w:szCs w:val="20"/>
          <w:lang w:eastAsia="en-GB"/>
        </w:rPr>
        <w:t xml:space="preserve"> after accounting for the cov</w:t>
      </w:r>
      <w:r>
        <w:rPr>
          <w:rFonts w:ascii="Helvetica" w:eastAsia="Times New Roman" w:hAnsi="Helvetica" w:cs="Helvetica"/>
          <w:sz w:val="20"/>
          <w:szCs w:val="20"/>
          <w:lang w:eastAsia="en-GB"/>
        </w:rPr>
        <w:t>ariates and monad random effect</w:t>
      </w:r>
      <w:r w:rsidR="009C2168">
        <w:rPr>
          <w:rFonts w:ascii="Helvetica" w:eastAsia="Times New Roman" w:hAnsi="Helvetica" w:cs="Helvetica"/>
          <w:sz w:val="20"/>
          <w:szCs w:val="20"/>
          <w:lang w:eastAsia="en-GB"/>
        </w:rPr>
        <w:t>.</w:t>
      </w:r>
      <w:r>
        <w:rPr>
          <w:rFonts w:ascii="Helvetica" w:eastAsia="Times New Roman" w:hAnsi="Helvetica" w:cs="Helvetica"/>
          <w:sz w:val="20"/>
          <w:szCs w:val="20"/>
          <w:lang w:eastAsia="en-GB"/>
        </w:rPr>
        <w:t xml:space="preserve"> </w:t>
      </w:r>
      <w:r w:rsidR="009C2168">
        <w:rPr>
          <w:rFonts w:ascii="Helvetica" w:eastAsia="Times New Roman" w:hAnsi="Helvetica" w:cs="Helvetica"/>
          <w:sz w:val="20"/>
          <w:szCs w:val="20"/>
          <w:lang w:eastAsia="en-GB"/>
        </w:rPr>
        <w:t>T</w:t>
      </w:r>
      <w:r>
        <w:rPr>
          <w:rFonts w:ascii="Helvetica" w:eastAsia="Times New Roman" w:hAnsi="Helvetica" w:cs="Helvetica"/>
          <w:sz w:val="20"/>
          <w:szCs w:val="20"/>
          <w:lang w:eastAsia="en-GB"/>
        </w:rPr>
        <w:t xml:space="preserve">herefore </w:t>
      </w:r>
      <w:r w:rsidR="009C2168">
        <w:rPr>
          <w:rFonts w:ascii="Helvetica" w:eastAsia="Times New Roman" w:hAnsi="Helvetica" w:cs="Helvetica"/>
          <w:sz w:val="20"/>
          <w:szCs w:val="20"/>
          <w:lang w:eastAsia="en-GB"/>
        </w:rPr>
        <w:t>the estimates are</w:t>
      </w:r>
      <w:r>
        <w:rPr>
          <w:rFonts w:ascii="Helvetica" w:eastAsia="Times New Roman" w:hAnsi="Helvetica" w:cs="Helvetica"/>
          <w:sz w:val="20"/>
          <w:szCs w:val="20"/>
          <w:lang w:eastAsia="en-GB"/>
        </w:rPr>
        <w:t xml:space="preserve"> dependent on the </w:t>
      </w:r>
      <w:r w:rsidRPr="00C0529B">
        <w:rPr>
          <w:rFonts w:ascii="Helvetica" w:eastAsia="Times New Roman" w:hAnsi="Helvetica" w:cs="Helvetica"/>
          <w:sz w:val="20"/>
          <w:szCs w:val="20"/>
          <w:lang w:eastAsia="en-GB"/>
        </w:rPr>
        <w:t>locations of the sites a</w:t>
      </w:r>
      <w:r>
        <w:rPr>
          <w:rFonts w:ascii="Helvetica" w:eastAsia="Times New Roman" w:hAnsi="Helvetica" w:cs="Helvetica"/>
          <w:sz w:val="20"/>
          <w:szCs w:val="20"/>
          <w:lang w:eastAsia="en-GB"/>
        </w:rPr>
        <w:t xml:space="preserve">nd plots that are in the model and </w:t>
      </w:r>
      <w:r w:rsidR="009C2168">
        <w:rPr>
          <w:rFonts w:ascii="Helvetica" w:eastAsia="Times New Roman" w:hAnsi="Helvetica" w:cs="Helvetica"/>
          <w:sz w:val="20"/>
          <w:szCs w:val="20"/>
          <w:lang w:eastAsia="en-GB"/>
        </w:rPr>
        <w:t>on</w:t>
      </w:r>
      <w:r>
        <w:rPr>
          <w:rFonts w:ascii="Helvetica" w:eastAsia="Times New Roman" w:hAnsi="Helvetica" w:cs="Helvetica"/>
          <w:sz w:val="20"/>
          <w:szCs w:val="20"/>
          <w:lang w:eastAsia="en-GB"/>
        </w:rPr>
        <w:t xml:space="preserve"> the fixed and random independent variables</w:t>
      </w:r>
      <w:r w:rsidR="009C2168">
        <w:rPr>
          <w:rFonts w:ascii="Helvetica" w:eastAsia="Times New Roman" w:hAnsi="Helvetica" w:cs="Helvetica"/>
          <w:sz w:val="20"/>
          <w:szCs w:val="20"/>
          <w:lang w:eastAsia="en-GB"/>
        </w:rPr>
        <w:t xml:space="preserve"> in each model</w:t>
      </w:r>
      <w:r>
        <w:rPr>
          <w:rFonts w:ascii="Helvetica" w:eastAsia="Times New Roman" w:hAnsi="Helvetica" w:cs="Helvetica"/>
          <w:sz w:val="20"/>
          <w:szCs w:val="20"/>
          <w:lang w:eastAsia="en-GB"/>
        </w:rPr>
        <w:t xml:space="preserve">. </w:t>
      </w:r>
      <w:r w:rsidR="007A1BEA">
        <w:rPr>
          <w:rFonts w:ascii="Helvetica" w:eastAsia="Times New Roman" w:hAnsi="Helvetica" w:cs="Helvetica"/>
          <w:sz w:val="20"/>
          <w:szCs w:val="20"/>
          <w:lang w:eastAsia="en-GB"/>
        </w:rPr>
        <w:t xml:space="preserve">Note the different scales across the maps of </w:t>
      </w:r>
      <w:r w:rsidR="009C2168">
        <w:rPr>
          <w:rFonts w:ascii="Helvetica" w:eastAsia="Times New Roman" w:hAnsi="Helvetica" w:cs="Helvetica"/>
          <w:sz w:val="20"/>
          <w:szCs w:val="20"/>
          <w:lang w:eastAsia="en-GB"/>
        </w:rPr>
        <w:t xml:space="preserve">both </w:t>
      </w:r>
      <w:r w:rsidR="007A1BEA">
        <w:rPr>
          <w:rFonts w:ascii="Helvetica" w:eastAsia="Times New Roman" w:hAnsi="Helvetica" w:cs="Helvetica"/>
          <w:sz w:val="20"/>
          <w:szCs w:val="20"/>
          <w:lang w:eastAsia="en-GB"/>
        </w:rPr>
        <w:t>the means and standard deviations.</w:t>
      </w:r>
      <w:r w:rsidR="009C2168">
        <w:rPr>
          <w:rFonts w:ascii="Helvetica" w:eastAsia="Times New Roman" w:hAnsi="Helvetica" w:cs="Helvetica"/>
          <w:sz w:val="20"/>
          <w:szCs w:val="20"/>
          <w:lang w:eastAsia="en-GB"/>
        </w:rPr>
        <w:t xml:space="preserve"> White crosses indicate site locations.</w:t>
      </w:r>
      <w:r w:rsidR="00A559C2">
        <w:rPr>
          <w:noProof/>
          <w:lang w:eastAsia="en-GB"/>
        </w:rPr>
        <w:drawing>
          <wp:inline distT="0" distB="0" distL="0" distR="0">
            <wp:extent cx="5731510" cy="4298950"/>
            <wp:effectExtent l="0" t="0" r="254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modelMEA10_RFs_woBryos_FINAL.tif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F030D" w:rsidRDefault="001F030D" w:rsidP="001F030D">
      <w:r>
        <w:t>Figure A1.1. MEA10 model (vascular plant richness only). Mean and standard deviation of spatial random fields.</w:t>
      </w:r>
    </w:p>
    <w:p w:rsidR="001F030D" w:rsidRDefault="001F030D" w:rsidP="001F030D"/>
    <w:p w:rsidR="001F030D" w:rsidRDefault="00A559C2" w:rsidP="001F030D">
      <w:pPr>
        <w:jc w:val="center"/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modelMEA10_RFs_withBryos_FINAL.tif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030D" w:rsidRDefault="001F030D" w:rsidP="001F030D">
      <w:r>
        <w:t>Figure A1.2. MEA10 model (vascular plant and bryophyte richness combined). Mean and standard deviation of spatial random fields.</w:t>
      </w:r>
    </w:p>
    <w:p w:rsidR="001F030D" w:rsidRDefault="001F030D" w:rsidP="001F030D"/>
    <w:p w:rsidR="001F030D" w:rsidRDefault="00A559C2" w:rsidP="001F030D">
      <w:pPr>
        <w:jc w:val="center"/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modelSEA04_MEA10comp_RFs_woBryos_FINAL.tif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030D" w:rsidRDefault="001F030D" w:rsidP="001F030D">
      <w:r>
        <w:t>Figure A1.3. SEA04 model 1 (vascular plant richness only). Mean and standard deviation of spatial random fields.</w:t>
      </w:r>
    </w:p>
    <w:p w:rsidR="001F030D" w:rsidRDefault="001F030D" w:rsidP="001F030D"/>
    <w:p w:rsidR="001F030D" w:rsidRDefault="00A559C2" w:rsidP="001F030D">
      <w:pPr>
        <w:jc w:val="center"/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modelSEA04_MEA10comp_RFs_withBryos_FINAL.tif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030D" w:rsidRDefault="001F030D" w:rsidP="001F030D">
      <w:r>
        <w:t>Figure A1.4. SEA04 model 1 (vascular plant and bryophyte richness combined). Mean and standard deviation of spatial random fields.</w:t>
      </w:r>
    </w:p>
    <w:p w:rsidR="001F030D" w:rsidRDefault="00A559C2" w:rsidP="001F030D">
      <w:pPr>
        <w:jc w:val="center"/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modelSEA04_allVars_RFs_woBryos_FINAL.tif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030D" w:rsidRDefault="001F030D" w:rsidP="001F030D">
      <w:r>
        <w:t>Figure A1.5. SEA04 model 2 (vascular plant richness only). Mean and standard deviation of spatial random fields.</w:t>
      </w:r>
    </w:p>
    <w:p w:rsidR="001F030D" w:rsidRDefault="00507291" w:rsidP="001F030D">
      <w:pPr>
        <w:jc w:val="center"/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4298950"/>
            <wp:effectExtent l="0" t="0" r="254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modelSEA04_allVars_RFs_withBryos_FINAL.tif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030D" w:rsidRDefault="001F030D" w:rsidP="001F030D">
      <w:r>
        <w:t>Figure A1.6. SEA04 model 2 (vascular plant and bryophyte richness combined). Mean and standard deviation of spatial random fields.</w:t>
      </w:r>
    </w:p>
    <w:p w:rsidR="001F030D" w:rsidRDefault="001F030D" w:rsidP="001F030D"/>
    <w:p w:rsidR="001F030D" w:rsidRDefault="001F030D" w:rsidP="001F030D">
      <w:pPr>
        <w:jc w:val="center"/>
      </w:pPr>
      <w:r>
        <w:rPr>
          <w:noProof/>
          <w:lang w:eastAsia="en-GB"/>
        </w:rPr>
        <w:lastRenderedPageBreak/>
        <w:drawing>
          <wp:inline distT="0" distB="0" distL="0" distR="0">
            <wp:extent cx="4222115" cy="6480175"/>
            <wp:effectExtent l="0" t="0" r="698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53" t="3053" r="7426" b="137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115" cy="648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030D" w:rsidRDefault="001F030D" w:rsidP="001F030D">
      <w:r>
        <w:t xml:space="preserve">Figure A1.7. Constrained refined Delaunay triangulation of Britain over which the SPDE solution to the zero </w:t>
      </w:r>
      <w:r>
        <w:rPr>
          <w:rFonts w:eastAsiaTheme="minorEastAsia" w:cstheme="minorHAnsi"/>
          <w:color w:val="000000" w:themeColor="text1"/>
        </w:rPr>
        <w:t>mean Matern Gaussian Markov random field (GMRF) is estimated</w:t>
      </w:r>
      <w:r>
        <w:rPr>
          <w:rFonts w:cstheme="minorHAnsi"/>
          <w:color w:val="000000" w:themeColor="text1"/>
        </w:rPr>
        <w:t>.</w:t>
      </w:r>
    </w:p>
    <w:p w:rsidR="001542F5" w:rsidRDefault="001542F5"/>
    <w:sectPr w:rsidR="001542F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3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47686"/>
    <w:rsid w:val="001542F5"/>
    <w:rsid w:val="001F030D"/>
    <w:rsid w:val="00347686"/>
    <w:rsid w:val="00507291"/>
    <w:rsid w:val="007A1BEA"/>
    <w:rsid w:val="009C2168"/>
    <w:rsid w:val="00A559C2"/>
    <w:rsid w:val="00BC3F4D"/>
    <w:rsid w:val="00BC7792"/>
    <w:rsid w:val="00C0529B"/>
    <w:rsid w:val="00C14F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C1944D"/>
  <w15:chartTrackingRefBased/>
  <w15:docId w15:val="{6384F189-AD69-4A5C-995B-8A586962F3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F030D"/>
    <w:pPr>
      <w:spacing w:line="256" w:lineRule="auto"/>
    </w:p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F030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F030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semiHidden/>
    <w:rsid w:val="001F030D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F030D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266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fontTable" Target="fontTable.xml"/><Relationship Id="rId5" Type="http://schemas.openxmlformats.org/officeDocument/2006/relationships/image" Target="media/image2.tiff"/><Relationship Id="rId10" Type="http://schemas.openxmlformats.org/officeDocument/2006/relationships/image" Target="media/image7.png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7</Pages>
  <Words>210</Words>
  <Characters>1200</Characters>
  <Application>Microsoft Office Word</Application>
  <DocSecurity>0</DocSecurity>
  <Lines>10</Lines>
  <Paragraphs>2</Paragraphs>
  <ScaleCrop>false</ScaleCrop>
  <Company>Centre for Ecology and Hydrology</Company>
  <LinksUpToDate>false</LinksUpToDate>
  <CharactersWithSpaces>1408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Pescott, Oliver L.</dc:creator>
  <cp:keywords/>
  <dc:description/>
  <cp:lastModifiedBy>Pescott, Oliver L.</cp:lastModifiedBy>
  <cp:revision>9</cp:revision>
  <dcterms:created xsi:type="dcterms:W3CDTF">2019-10-20T15:39:00Z</dcterms:created>
  <dcterms:modified xsi:type="dcterms:W3CDTF">2020-02-28T10:16:00Z</dcterms:modified>
</cp:coreProperties>
</file>