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8EA3" w14:textId="30AB081A" w:rsidR="005A26E0" w:rsidRPr="000A55C5" w:rsidRDefault="005A26E0" w:rsidP="001618BD">
      <w:pPr>
        <w:rPr>
          <w:rFonts w:ascii="Times New Roman" w:hAnsi="Times New Roman" w:cs="Times New Roman"/>
          <w:sz w:val="24"/>
          <w:szCs w:val="24"/>
        </w:rPr>
      </w:pPr>
      <w:r w:rsidRPr="000A55C5">
        <w:rPr>
          <w:rFonts w:ascii="Times New Roman" w:hAnsi="Times New Roman" w:cs="Times New Roman"/>
          <w:sz w:val="24"/>
          <w:szCs w:val="24"/>
        </w:rPr>
        <w:t>Table S</w:t>
      </w:r>
      <w:r w:rsidR="00F27DF7">
        <w:rPr>
          <w:rFonts w:ascii="Times New Roman" w:hAnsi="Times New Roman" w:cs="Times New Roman"/>
          <w:sz w:val="24"/>
          <w:szCs w:val="24"/>
        </w:rPr>
        <w:t>4</w:t>
      </w:r>
      <w:r w:rsidRPr="000A55C5">
        <w:rPr>
          <w:rFonts w:ascii="Times New Roman" w:hAnsi="Times New Roman" w:cs="Times New Roman"/>
          <w:sz w:val="24"/>
          <w:szCs w:val="24"/>
        </w:rPr>
        <w:t xml:space="preserve">.  Statistical output for a series of Dunn’s post-hoc </w:t>
      </w:r>
      <w:r w:rsidRPr="000A55C5">
        <w:rPr>
          <w:rFonts w:ascii="IBM Plex Mono" w:hAnsi="IBM Plex Mono"/>
          <w:color w:val="323232"/>
          <w:sz w:val="24"/>
          <w:szCs w:val="24"/>
          <w:shd w:val="clear" w:color="auto" w:fill="FFFFFF"/>
        </w:rPr>
        <w:t xml:space="preserve">tests </w:t>
      </w:r>
      <w:r w:rsidRPr="000A55C5">
        <w:rPr>
          <w:rFonts w:ascii="Times New Roman" w:hAnsi="Times New Roman" w:cs="Times New Roman"/>
          <w:sz w:val="24"/>
          <w:szCs w:val="24"/>
        </w:rPr>
        <w:t>comparing the total number of years the user survey respondents have participated in Bumble Bee Watch to their reported number (class) of submissions.</w:t>
      </w:r>
      <w:r w:rsidR="0028372F">
        <w:rPr>
          <w:rFonts w:ascii="Times New Roman" w:hAnsi="Times New Roman" w:cs="Times New Roman"/>
          <w:sz w:val="24"/>
          <w:szCs w:val="24"/>
        </w:rPr>
        <w:t xml:space="preserve"> Significance levels were adjusted to con</w:t>
      </w:r>
      <w:r w:rsidR="00526558">
        <w:rPr>
          <w:rFonts w:ascii="Times New Roman" w:hAnsi="Times New Roman" w:cs="Times New Roman"/>
          <w:sz w:val="24"/>
          <w:szCs w:val="24"/>
        </w:rPr>
        <w:t xml:space="preserve">trol </w:t>
      </w:r>
      <w:r w:rsidR="0028372F" w:rsidRPr="00995EB0">
        <w:rPr>
          <w:rFonts w:ascii="Times New Roman" w:hAnsi="Times New Roman" w:cs="Times New Roman"/>
          <w:sz w:val="24"/>
          <w:szCs w:val="24"/>
        </w:rPr>
        <w:t>False Discovery Rates (FDRs)</w:t>
      </w:r>
      <w:r w:rsidR="0028372F">
        <w:rPr>
          <w:rFonts w:ascii="Times New Roman" w:hAnsi="Times New Roman" w:cs="Times New Roman"/>
          <w:sz w:val="24"/>
          <w:szCs w:val="24"/>
        </w:rPr>
        <w:t xml:space="preserve"> </w:t>
      </w:r>
      <w:r w:rsidR="0028372F" w:rsidRPr="00995EB0">
        <w:rPr>
          <w:rFonts w:ascii="Times New Roman" w:hAnsi="Times New Roman" w:cs="Times New Roman"/>
          <w:sz w:val="24"/>
          <w:szCs w:val="24"/>
        </w:rPr>
        <w:t>using</w:t>
      </w:r>
      <w:r w:rsidR="0028372F">
        <w:rPr>
          <w:rFonts w:ascii="Times New Roman" w:hAnsi="Times New Roman" w:cs="Times New Roman"/>
          <w:sz w:val="24"/>
          <w:szCs w:val="24"/>
        </w:rPr>
        <w:t xml:space="preserve"> the</w:t>
      </w:r>
      <w:r w:rsidR="0028372F" w:rsidRPr="00995EB0">
        <w:rPr>
          <w:rFonts w:ascii="Times New Roman" w:hAnsi="Times New Roman" w:cs="Times New Roman"/>
          <w:sz w:val="24"/>
          <w:szCs w:val="24"/>
        </w:rPr>
        <w:t xml:space="preserve"> </w:t>
      </w:r>
      <w:r w:rsidR="0028372F" w:rsidRPr="00AC2362">
        <w:rPr>
          <w:rFonts w:ascii="Times New Roman" w:hAnsi="Times New Roman" w:cs="Times New Roman"/>
          <w:sz w:val="24"/>
          <w:szCs w:val="24"/>
        </w:rPr>
        <w:t>Benjamini</w:t>
      </w:r>
      <w:r w:rsidR="0028372F">
        <w:rPr>
          <w:rFonts w:ascii="Times New Roman" w:hAnsi="Times New Roman" w:cs="Times New Roman"/>
          <w:sz w:val="24"/>
          <w:szCs w:val="24"/>
        </w:rPr>
        <w:t>-</w:t>
      </w:r>
      <w:r w:rsidR="0028372F" w:rsidRPr="00AC2362">
        <w:rPr>
          <w:rFonts w:ascii="Times New Roman" w:hAnsi="Times New Roman" w:cs="Times New Roman"/>
          <w:sz w:val="24"/>
          <w:szCs w:val="24"/>
        </w:rPr>
        <w:t xml:space="preserve">Hochberg </w:t>
      </w:r>
      <w:r w:rsidR="0028372F">
        <w:rPr>
          <w:rFonts w:ascii="Times New Roman" w:hAnsi="Times New Roman" w:cs="Times New Roman"/>
          <w:sz w:val="24"/>
          <w:szCs w:val="24"/>
        </w:rPr>
        <w:t>procedure.</w:t>
      </w:r>
    </w:p>
    <w:p w14:paraId="6398FD59" w14:textId="77777777" w:rsidR="005A26E0" w:rsidRPr="000A55C5" w:rsidRDefault="005A26E0" w:rsidP="001618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466"/>
        <w:gridCol w:w="1485"/>
        <w:gridCol w:w="1485"/>
      </w:tblGrid>
      <w:tr w:rsidR="0007434C" w:rsidRPr="000A55C5" w14:paraId="193A6150" w14:textId="0AC4145F" w:rsidTr="006A3125">
        <w:trPr>
          <w:trHeight w:val="480"/>
        </w:trPr>
        <w:tc>
          <w:tcPr>
            <w:tcW w:w="2186" w:type="dxa"/>
            <w:noWrap/>
            <w:hideMark/>
          </w:tcPr>
          <w:p w14:paraId="7F3C1C2A" w14:textId="77777777" w:rsidR="0007434C" w:rsidRPr="000A55C5" w:rsidRDefault="0007434C" w:rsidP="000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Years of Participation Comparisons</w:t>
            </w:r>
          </w:p>
        </w:tc>
        <w:tc>
          <w:tcPr>
            <w:tcW w:w="1466" w:type="dxa"/>
            <w:noWrap/>
            <w:hideMark/>
          </w:tcPr>
          <w:p w14:paraId="4011797C" w14:textId="77777777" w:rsidR="0007434C" w:rsidRPr="000A55C5" w:rsidRDefault="0007434C" w:rsidP="000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Test Statistic</w:t>
            </w:r>
          </w:p>
        </w:tc>
        <w:tc>
          <w:tcPr>
            <w:tcW w:w="1485" w:type="dxa"/>
            <w:noWrap/>
            <w:hideMark/>
          </w:tcPr>
          <w:p w14:paraId="796E5832" w14:textId="45DFEC3E" w:rsidR="0007434C" w:rsidRPr="000A55C5" w:rsidRDefault="0007434C" w:rsidP="000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1485" w:type="dxa"/>
          </w:tcPr>
          <w:p w14:paraId="1F4E3EDB" w14:textId="7E3699B2" w:rsidR="0007434C" w:rsidRPr="000A55C5" w:rsidRDefault="0007434C" w:rsidP="000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49">
              <w:rPr>
                <w:rFonts w:ascii="Times New Roman" w:hAnsi="Times New Roman" w:cs="Times New Roman"/>
                <w:sz w:val="24"/>
                <w:szCs w:val="24"/>
              </w:rPr>
              <w:t>FDR-adjusted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8B5E18" w:rsidRPr="000A55C5" w14:paraId="4980BCE6" w14:textId="1F1254F2" w:rsidTr="00841567">
        <w:trPr>
          <w:trHeight w:val="288"/>
        </w:trPr>
        <w:tc>
          <w:tcPr>
            <w:tcW w:w="2186" w:type="dxa"/>
            <w:noWrap/>
            <w:hideMark/>
          </w:tcPr>
          <w:p w14:paraId="6FB40A4F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0 &amp; 1</w:t>
            </w:r>
          </w:p>
        </w:tc>
        <w:tc>
          <w:tcPr>
            <w:tcW w:w="1466" w:type="dxa"/>
            <w:noWrap/>
            <w:hideMark/>
          </w:tcPr>
          <w:p w14:paraId="68FC6724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85" w:type="dxa"/>
            <w:noWrap/>
          </w:tcPr>
          <w:p w14:paraId="360DC664" w14:textId="0FAE8377" w:rsidR="008B5E18" w:rsidRPr="000A55C5" w:rsidRDefault="00B707EA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485" w:type="dxa"/>
          </w:tcPr>
          <w:p w14:paraId="1D5187C1" w14:textId="20D99DAF" w:rsidR="008B5E18" w:rsidRPr="000A55C5" w:rsidRDefault="00C61471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8B5E18" w:rsidRPr="000A55C5" w14:paraId="11502804" w14:textId="14C67603" w:rsidTr="00841567">
        <w:trPr>
          <w:trHeight w:val="288"/>
        </w:trPr>
        <w:tc>
          <w:tcPr>
            <w:tcW w:w="2186" w:type="dxa"/>
            <w:noWrap/>
            <w:hideMark/>
          </w:tcPr>
          <w:p w14:paraId="6ADBA3D6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0 &amp; 2</w:t>
            </w:r>
          </w:p>
        </w:tc>
        <w:tc>
          <w:tcPr>
            <w:tcW w:w="1466" w:type="dxa"/>
            <w:noWrap/>
            <w:hideMark/>
          </w:tcPr>
          <w:p w14:paraId="0729323F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-20.01</w:t>
            </w:r>
          </w:p>
        </w:tc>
        <w:tc>
          <w:tcPr>
            <w:tcW w:w="1485" w:type="dxa"/>
            <w:noWrap/>
          </w:tcPr>
          <w:p w14:paraId="527944C5" w14:textId="3FC7EE1E" w:rsidR="008B5E18" w:rsidRPr="000A55C5" w:rsidRDefault="00BA0BBA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85" w:type="dxa"/>
          </w:tcPr>
          <w:p w14:paraId="1CAA173A" w14:textId="745A228C" w:rsidR="008B5E18" w:rsidRPr="000A55C5" w:rsidRDefault="00F3083E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61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5E18" w:rsidRPr="000A55C5" w14:paraId="7A4A5913" w14:textId="7DCD9CEB" w:rsidTr="006A3125">
        <w:trPr>
          <w:trHeight w:val="288"/>
        </w:trPr>
        <w:tc>
          <w:tcPr>
            <w:tcW w:w="2186" w:type="dxa"/>
            <w:noWrap/>
            <w:hideMark/>
          </w:tcPr>
          <w:p w14:paraId="4B1BCAE3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0 &amp; 3</w:t>
            </w:r>
          </w:p>
        </w:tc>
        <w:tc>
          <w:tcPr>
            <w:tcW w:w="1466" w:type="dxa"/>
            <w:noWrap/>
            <w:hideMark/>
          </w:tcPr>
          <w:p w14:paraId="04435177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-63.96</w:t>
            </w:r>
          </w:p>
        </w:tc>
        <w:tc>
          <w:tcPr>
            <w:tcW w:w="1485" w:type="dxa"/>
            <w:noWrap/>
            <w:hideMark/>
          </w:tcPr>
          <w:p w14:paraId="25990465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85" w:type="dxa"/>
          </w:tcPr>
          <w:p w14:paraId="5409DAF5" w14:textId="2DC7DC0C" w:rsidR="008B5E18" w:rsidRPr="000A55C5" w:rsidRDefault="00EC3CDD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B5E18" w:rsidRPr="000A55C5" w14:paraId="52FFFD20" w14:textId="2F0A7E28" w:rsidTr="006A3125">
        <w:trPr>
          <w:trHeight w:val="288"/>
        </w:trPr>
        <w:tc>
          <w:tcPr>
            <w:tcW w:w="2186" w:type="dxa"/>
            <w:noWrap/>
            <w:hideMark/>
          </w:tcPr>
          <w:p w14:paraId="11482B8F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0 &amp; 4</w:t>
            </w:r>
          </w:p>
        </w:tc>
        <w:tc>
          <w:tcPr>
            <w:tcW w:w="1466" w:type="dxa"/>
            <w:noWrap/>
            <w:hideMark/>
          </w:tcPr>
          <w:p w14:paraId="18BBD7F5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-104.86</w:t>
            </w:r>
          </w:p>
        </w:tc>
        <w:tc>
          <w:tcPr>
            <w:tcW w:w="1485" w:type="dxa"/>
            <w:noWrap/>
            <w:hideMark/>
          </w:tcPr>
          <w:p w14:paraId="79587EA8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85" w:type="dxa"/>
          </w:tcPr>
          <w:p w14:paraId="40967F46" w14:textId="675182D6" w:rsidR="008B5E18" w:rsidRPr="000A55C5" w:rsidRDefault="00EC3CDD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B5E18" w:rsidRPr="000A55C5" w14:paraId="71E263AA" w14:textId="686F874E" w:rsidTr="00841567">
        <w:trPr>
          <w:trHeight w:val="288"/>
        </w:trPr>
        <w:tc>
          <w:tcPr>
            <w:tcW w:w="2186" w:type="dxa"/>
            <w:noWrap/>
            <w:hideMark/>
          </w:tcPr>
          <w:p w14:paraId="419E8579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1 &amp; 2</w:t>
            </w:r>
          </w:p>
        </w:tc>
        <w:tc>
          <w:tcPr>
            <w:tcW w:w="1466" w:type="dxa"/>
            <w:noWrap/>
            <w:hideMark/>
          </w:tcPr>
          <w:p w14:paraId="79734C6B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-29.05</w:t>
            </w:r>
          </w:p>
        </w:tc>
        <w:tc>
          <w:tcPr>
            <w:tcW w:w="1485" w:type="dxa"/>
            <w:noWrap/>
          </w:tcPr>
          <w:p w14:paraId="5747A06D" w14:textId="74797636" w:rsidR="008B5E18" w:rsidRPr="000A55C5" w:rsidRDefault="003D6ABC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85" w:type="dxa"/>
          </w:tcPr>
          <w:p w14:paraId="19A6B133" w14:textId="3D2B0188" w:rsidR="008B5E18" w:rsidRPr="000A55C5" w:rsidRDefault="00F3083E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2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E18" w:rsidRPr="000A55C5" w14:paraId="4BB05EC4" w14:textId="5C8D7950" w:rsidTr="006A3125">
        <w:trPr>
          <w:trHeight w:val="288"/>
        </w:trPr>
        <w:tc>
          <w:tcPr>
            <w:tcW w:w="2186" w:type="dxa"/>
            <w:noWrap/>
            <w:hideMark/>
          </w:tcPr>
          <w:p w14:paraId="15166A72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1 &amp; 3</w:t>
            </w:r>
          </w:p>
        </w:tc>
        <w:tc>
          <w:tcPr>
            <w:tcW w:w="1466" w:type="dxa"/>
            <w:noWrap/>
            <w:hideMark/>
          </w:tcPr>
          <w:p w14:paraId="17FE4A4B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-73.01</w:t>
            </w:r>
          </w:p>
        </w:tc>
        <w:tc>
          <w:tcPr>
            <w:tcW w:w="1485" w:type="dxa"/>
            <w:noWrap/>
            <w:hideMark/>
          </w:tcPr>
          <w:p w14:paraId="1174DF8A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85" w:type="dxa"/>
          </w:tcPr>
          <w:p w14:paraId="3A73D771" w14:textId="727A3254" w:rsidR="008B5E18" w:rsidRPr="000A55C5" w:rsidRDefault="00EC3CDD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B5E18" w:rsidRPr="000A55C5" w14:paraId="604F9746" w14:textId="5109EE56" w:rsidTr="006A3125">
        <w:trPr>
          <w:trHeight w:val="288"/>
        </w:trPr>
        <w:tc>
          <w:tcPr>
            <w:tcW w:w="2186" w:type="dxa"/>
            <w:noWrap/>
            <w:hideMark/>
          </w:tcPr>
          <w:p w14:paraId="4830506E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1 &amp; 4</w:t>
            </w:r>
          </w:p>
        </w:tc>
        <w:tc>
          <w:tcPr>
            <w:tcW w:w="1466" w:type="dxa"/>
            <w:noWrap/>
            <w:hideMark/>
          </w:tcPr>
          <w:p w14:paraId="008A73E4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-113.90</w:t>
            </w:r>
          </w:p>
        </w:tc>
        <w:tc>
          <w:tcPr>
            <w:tcW w:w="1485" w:type="dxa"/>
            <w:noWrap/>
            <w:hideMark/>
          </w:tcPr>
          <w:p w14:paraId="5A8CA2D4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85" w:type="dxa"/>
          </w:tcPr>
          <w:p w14:paraId="0509461E" w14:textId="54E9B507" w:rsidR="008B5E18" w:rsidRPr="000A55C5" w:rsidRDefault="00EC3CDD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B5E18" w:rsidRPr="000A55C5" w14:paraId="47679567" w14:textId="7B4A3682" w:rsidTr="00B707EA">
        <w:trPr>
          <w:trHeight w:val="288"/>
        </w:trPr>
        <w:tc>
          <w:tcPr>
            <w:tcW w:w="2186" w:type="dxa"/>
            <w:noWrap/>
            <w:hideMark/>
          </w:tcPr>
          <w:p w14:paraId="686B5230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2 &amp; 3</w:t>
            </w:r>
          </w:p>
        </w:tc>
        <w:tc>
          <w:tcPr>
            <w:tcW w:w="1466" w:type="dxa"/>
            <w:noWrap/>
            <w:hideMark/>
          </w:tcPr>
          <w:p w14:paraId="783CDBA4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-43.96</w:t>
            </w:r>
          </w:p>
        </w:tc>
        <w:tc>
          <w:tcPr>
            <w:tcW w:w="1485" w:type="dxa"/>
            <w:noWrap/>
          </w:tcPr>
          <w:p w14:paraId="51C32B79" w14:textId="6BF995E5" w:rsidR="008B5E18" w:rsidRPr="000A55C5" w:rsidRDefault="00DF406F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85" w:type="dxa"/>
          </w:tcPr>
          <w:p w14:paraId="691A2591" w14:textId="4479F454" w:rsidR="008B5E18" w:rsidRPr="000A55C5" w:rsidRDefault="00EC3CDD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8B5E18" w:rsidRPr="000A55C5" w14:paraId="1D78108D" w14:textId="69C8D57C" w:rsidTr="006A3125">
        <w:trPr>
          <w:trHeight w:val="288"/>
        </w:trPr>
        <w:tc>
          <w:tcPr>
            <w:tcW w:w="2186" w:type="dxa"/>
            <w:noWrap/>
            <w:hideMark/>
          </w:tcPr>
          <w:p w14:paraId="6BDB5F17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2 &amp; 4</w:t>
            </w:r>
          </w:p>
        </w:tc>
        <w:tc>
          <w:tcPr>
            <w:tcW w:w="1466" w:type="dxa"/>
            <w:noWrap/>
            <w:hideMark/>
          </w:tcPr>
          <w:p w14:paraId="59DBEAEB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-84.85</w:t>
            </w:r>
          </w:p>
        </w:tc>
        <w:tc>
          <w:tcPr>
            <w:tcW w:w="1485" w:type="dxa"/>
            <w:noWrap/>
            <w:hideMark/>
          </w:tcPr>
          <w:p w14:paraId="64D0130F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85" w:type="dxa"/>
          </w:tcPr>
          <w:p w14:paraId="58B2ED7B" w14:textId="43070E45" w:rsidR="008B5E18" w:rsidRPr="000A55C5" w:rsidRDefault="00EC3CDD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B5E18" w:rsidRPr="000A55C5" w14:paraId="3400E02F" w14:textId="56ED6320" w:rsidTr="006A3125">
        <w:trPr>
          <w:trHeight w:val="288"/>
        </w:trPr>
        <w:tc>
          <w:tcPr>
            <w:tcW w:w="2186" w:type="dxa"/>
            <w:noWrap/>
            <w:hideMark/>
          </w:tcPr>
          <w:p w14:paraId="221FAC7E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year 3 &amp; 4</w:t>
            </w:r>
          </w:p>
        </w:tc>
        <w:tc>
          <w:tcPr>
            <w:tcW w:w="1466" w:type="dxa"/>
            <w:noWrap/>
            <w:hideMark/>
          </w:tcPr>
          <w:p w14:paraId="34292B40" w14:textId="77777777" w:rsidR="008B5E18" w:rsidRPr="000A55C5" w:rsidRDefault="008B5E18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C5">
              <w:rPr>
                <w:rFonts w:ascii="Times New Roman" w:hAnsi="Times New Roman" w:cs="Times New Roman"/>
                <w:sz w:val="24"/>
                <w:szCs w:val="24"/>
              </w:rPr>
              <w:t>-40.90</w:t>
            </w:r>
          </w:p>
        </w:tc>
        <w:tc>
          <w:tcPr>
            <w:tcW w:w="1485" w:type="dxa"/>
            <w:noWrap/>
            <w:hideMark/>
          </w:tcPr>
          <w:p w14:paraId="2A6D090C" w14:textId="39ABBFBF" w:rsidR="008B5E18" w:rsidRPr="000A55C5" w:rsidRDefault="00DB2D17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85" w:type="dxa"/>
          </w:tcPr>
          <w:p w14:paraId="6C00AAC6" w14:textId="4A8291E2" w:rsidR="008B5E18" w:rsidRPr="000A55C5" w:rsidRDefault="00C61471" w:rsidP="0016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3C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0A54836" w14:textId="77777777" w:rsidR="005A26E0" w:rsidRPr="000A55C5" w:rsidRDefault="005A26E0" w:rsidP="001618BD">
      <w:pPr>
        <w:rPr>
          <w:rFonts w:ascii="Times New Roman" w:hAnsi="Times New Roman" w:cs="Times New Roman"/>
          <w:sz w:val="24"/>
          <w:szCs w:val="24"/>
        </w:rPr>
      </w:pPr>
    </w:p>
    <w:p w14:paraId="24726858" w14:textId="77777777" w:rsidR="00A544EF" w:rsidRDefault="00A544EF" w:rsidP="001618BD"/>
    <w:sectPr w:rsidR="00A544E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A369" w14:textId="77777777" w:rsidR="009F5840" w:rsidRDefault="009F5840" w:rsidP="0097291D">
      <w:r>
        <w:separator/>
      </w:r>
    </w:p>
  </w:endnote>
  <w:endnote w:type="continuationSeparator" w:id="0">
    <w:p w14:paraId="61847613" w14:textId="77777777" w:rsidR="009F5840" w:rsidRDefault="009F5840" w:rsidP="0097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Mon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26FA" w14:textId="77777777" w:rsidR="009F5840" w:rsidRDefault="009F5840" w:rsidP="0097291D">
      <w:r>
        <w:separator/>
      </w:r>
    </w:p>
  </w:footnote>
  <w:footnote w:type="continuationSeparator" w:id="0">
    <w:p w14:paraId="6CC71CB5" w14:textId="77777777" w:rsidR="009F5840" w:rsidRDefault="009F5840" w:rsidP="0097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85AD" w14:textId="77777777" w:rsidR="006A1653" w:rsidRPr="009874DF" w:rsidRDefault="006A1653" w:rsidP="006A1653">
    <w:pPr>
      <w:pStyle w:val="Header"/>
      <w:jc w:val="center"/>
      <w:rPr>
        <w:bCs/>
        <w:sz w:val="20"/>
        <w:szCs w:val="20"/>
      </w:rPr>
    </w:pPr>
    <w:r w:rsidRPr="009874DF">
      <w:rPr>
        <w:rFonts w:ascii="Times New Roman" w:hAnsi="Times New Roman" w:cs="Times New Roman"/>
        <w:bCs/>
        <w:sz w:val="20"/>
        <w:szCs w:val="20"/>
      </w:rPr>
      <w:t>MacPhail et al. 20</w:t>
    </w:r>
    <w:r>
      <w:rPr>
        <w:rFonts w:ascii="Times New Roman" w:hAnsi="Times New Roman" w:cs="Times New Roman"/>
        <w:bCs/>
        <w:sz w:val="20"/>
        <w:szCs w:val="20"/>
      </w:rPr>
      <w:t>20</w:t>
    </w:r>
    <w:r w:rsidRPr="009874DF">
      <w:rPr>
        <w:rFonts w:ascii="Times New Roman" w:hAnsi="Times New Roman" w:cs="Times New Roman"/>
        <w:bCs/>
        <w:sz w:val="20"/>
        <w:szCs w:val="20"/>
      </w:rPr>
      <w:t xml:space="preserve"> Supplemental Information for “</w:t>
    </w:r>
    <w:r w:rsidRPr="00ED7058">
      <w:rPr>
        <w:rFonts w:ascii="Times New Roman" w:hAnsi="Times New Roman" w:cs="Times New Roman"/>
        <w:bCs/>
        <w:sz w:val="20"/>
        <w:szCs w:val="20"/>
      </w:rPr>
      <w:t>Community science participants gain environmental awareness and contribute high quality data but improvements are needed: insights from Bumble Bee Watch</w:t>
    </w:r>
    <w:r w:rsidRPr="009874DF">
      <w:rPr>
        <w:rFonts w:ascii="Times New Roman" w:hAnsi="Times New Roman" w:cs="Times New Roman"/>
        <w:bCs/>
        <w:sz w:val="20"/>
        <w:szCs w:val="20"/>
      </w:rPr>
      <w:t>”</w:t>
    </w:r>
  </w:p>
  <w:p w14:paraId="70588AFE" w14:textId="764713CD" w:rsidR="0097291D" w:rsidRPr="006A1653" w:rsidRDefault="0097291D" w:rsidP="006A1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CD"/>
    <w:rsid w:val="0007434C"/>
    <w:rsid w:val="000C50E2"/>
    <w:rsid w:val="001618BD"/>
    <w:rsid w:val="0028372F"/>
    <w:rsid w:val="003B40D4"/>
    <w:rsid w:val="003C7A63"/>
    <w:rsid w:val="003D6ABC"/>
    <w:rsid w:val="004A27CD"/>
    <w:rsid w:val="00526558"/>
    <w:rsid w:val="00567D53"/>
    <w:rsid w:val="005A26E0"/>
    <w:rsid w:val="006A1653"/>
    <w:rsid w:val="00821651"/>
    <w:rsid w:val="008220F7"/>
    <w:rsid w:val="0082708F"/>
    <w:rsid w:val="00841567"/>
    <w:rsid w:val="008B5E18"/>
    <w:rsid w:val="0097291D"/>
    <w:rsid w:val="009A0011"/>
    <w:rsid w:val="009F5840"/>
    <w:rsid w:val="00A544EF"/>
    <w:rsid w:val="00A9039F"/>
    <w:rsid w:val="00AD7534"/>
    <w:rsid w:val="00AE06AD"/>
    <w:rsid w:val="00B707EA"/>
    <w:rsid w:val="00BA0BBA"/>
    <w:rsid w:val="00BC4934"/>
    <w:rsid w:val="00C1341A"/>
    <w:rsid w:val="00C61471"/>
    <w:rsid w:val="00C86C8E"/>
    <w:rsid w:val="00DB2D17"/>
    <w:rsid w:val="00DE23E1"/>
    <w:rsid w:val="00DF406F"/>
    <w:rsid w:val="00E86424"/>
    <w:rsid w:val="00EC3CDD"/>
    <w:rsid w:val="00F27DF7"/>
    <w:rsid w:val="00F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5A0E"/>
  <w15:chartTrackingRefBased/>
  <w15:docId w15:val="{9531ECDE-01FC-43D2-8502-514140AA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1D"/>
  </w:style>
  <w:style w:type="paragraph" w:styleId="Footer">
    <w:name w:val="footer"/>
    <w:basedOn w:val="Normal"/>
    <w:link w:val="FooterChar"/>
    <w:uiPriority w:val="99"/>
    <w:unhideWhenUsed/>
    <w:rsid w:val="00972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1D"/>
  </w:style>
  <w:style w:type="paragraph" w:styleId="BalloonText">
    <w:name w:val="Balloon Text"/>
    <w:basedOn w:val="Normal"/>
    <w:link w:val="BalloonTextChar"/>
    <w:uiPriority w:val="99"/>
    <w:semiHidden/>
    <w:unhideWhenUsed/>
    <w:rsid w:val="00526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MacPhail</dc:creator>
  <cp:keywords/>
  <dc:description/>
  <cp:lastModifiedBy>Victoria MacPhail</cp:lastModifiedBy>
  <cp:revision>3</cp:revision>
  <cp:lastPrinted>2020-04-15T15:51:00Z</cp:lastPrinted>
  <dcterms:created xsi:type="dcterms:W3CDTF">2020-04-15T15:51:00Z</dcterms:created>
  <dcterms:modified xsi:type="dcterms:W3CDTF">2020-04-15T15:51:00Z</dcterms:modified>
</cp:coreProperties>
</file>