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07" w:rsidRPr="00554A35" w:rsidRDefault="00554A35" w:rsidP="00554A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213"/>
      </w:tblGrid>
      <w:tr w:rsidR="0056302C" w:rsidRPr="0056302C" w:rsidTr="00760B13">
        <w:tc>
          <w:tcPr>
            <w:tcW w:w="5091" w:type="dxa"/>
          </w:tcPr>
          <w:p w:rsidR="0056302C" w:rsidRPr="0056302C" w:rsidRDefault="0056302C">
            <w:pPr>
              <w:rPr>
                <w:rFonts w:ascii="Times New Roman" w:hAnsi="Times New Roman" w:cs="Times New Roman"/>
                <w:b/>
                <w:sz w:val="16"/>
                <w:szCs w:val="16"/>
                <w:u w:val="single"/>
              </w:rPr>
            </w:pPr>
          </w:p>
          <w:tbl>
            <w:tblPr>
              <w:tblStyle w:val="TableGrid"/>
              <w:tblW w:w="4933" w:type="dxa"/>
              <w:tblLook w:val="04A0" w:firstRow="1" w:lastRow="0" w:firstColumn="1" w:lastColumn="0" w:noHBand="0" w:noVBand="1"/>
            </w:tblPr>
            <w:tblGrid>
              <w:gridCol w:w="830"/>
              <w:gridCol w:w="1347"/>
              <w:gridCol w:w="1280"/>
              <w:gridCol w:w="988"/>
              <w:gridCol w:w="488"/>
            </w:tblGrid>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Motif</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Mutations</w:t>
                  </w:r>
                </w:p>
              </w:tc>
              <w:tc>
                <w:tcPr>
                  <w:tcW w:w="128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Organism</w:t>
                  </w:r>
                </w:p>
              </w:tc>
              <w:tc>
                <w:tcPr>
                  <w:tcW w:w="988" w:type="dxa"/>
                </w:tcPr>
                <w:p w:rsidR="0056302C" w:rsidRPr="0056302C" w:rsidRDefault="00085111" w:rsidP="0056302C">
                  <w:pPr>
                    <w:rPr>
                      <w:rFonts w:ascii="Times New Roman" w:hAnsi="Times New Roman" w:cs="Times New Roman"/>
                      <w:sz w:val="16"/>
                      <w:szCs w:val="16"/>
                    </w:rPr>
                  </w:pPr>
                  <w:r>
                    <w:rPr>
                      <w:rFonts w:ascii="Times New Roman" w:hAnsi="Times New Roman" w:cs="Times New Roman"/>
                      <w:sz w:val="16"/>
                      <w:szCs w:val="16"/>
                    </w:rPr>
                    <w:t>Equivalent to h</w:t>
                  </w:r>
                  <w:r w:rsidR="0056302C" w:rsidRPr="0056302C">
                    <w:rPr>
                      <w:rFonts w:ascii="Times New Roman" w:hAnsi="Times New Roman" w:cs="Times New Roman"/>
                      <w:sz w:val="16"/>
                      <w:szCs w:val="16"/>
                    </w:rPr>
                    <w:t xml:space="preserve">uman </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residue</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Ref.</w:t>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A</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K40A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K40R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K40E</w:t>
                  </w: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S. cerevisiae</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K42A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K42R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w:t>
                  </w:r>
                  <w:r w:rsidR="00AC5271">
                    <w:rPr>
                      <w:rFonts w:ascii="Times New Roman" w:hAnsi="Times New Roman" w:cs="Times New Roman"/>
                      <w:sz w:val="16"/>
                      <w:szCs w:val="16"/>
                    </w:rPr>
                    <w:t>2</w:t>
                  </w:r>
                  <w:r w:rsidRPr="0056302C">
                    <w:rPr>
                      <w:rFonts w:ascii="Times New Roman" w:hAnsi="Times New Roman" w:cs="Times New Roman"/>
                      <w:sz w:val="16"/>
                      <w:szCs w:val="16"/>
                    </w:rPr>
                    <w:t>E</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{"citationItems":[{"id":"ITEM-1","itemData":{"DOI":"10.1074/jbc.M410192200","ISBN":"0021-9258 (Print)\\r0021-9258 (Linking)","PMID":"15546877","abstract":"The Saccharomyces cerevisiae Rad50-Mre11-Xrs2 complex plays a central role in the cellular response to DNA double strand breaks. Rad50 has a globular ATPase head domain with a long coiled-coil tail. DNA binding by Rad50 is ATP-dependent and the Rad50-Mre11-Xrs2 complex possesses DNA unwinding and endonuclease activities that are regulated by ATP. Here we have examined the role of the Rad50 Walker type A ATP binding motif in DNA double strand break repair by a combination of genetic and biochemical approaches. Replacement of the conserved lysine residue within the Walker A motif with alanine, glutamate, or arginine results in the same DNA damage sensitivity and homologous recombination defect as the rad50 deletion mutation. The Walker A mutations also cause a deficiency in non-homologous end-joining. As expected, complexes containing the rad50 Walker A mutant proteins are defective in ATPase, ATP-dependent DNA unwinding, and ATP-stimulated endonuclease activities. Although the DNA end-bridging activity of the Rad50-Mre11-Xrs2 complex is ATP-independent, the end-bridging activity of complexes containing the rad50 Walker A mutant proteins is salt-sensitive. These results provide a molecular explanation for the observed in vivo defects of the rad50 Walker mutant strains and reveal a novel ATP-independent function for Rad50 in DNA end-bridging.","author":[{"dropping-particle":"","family":"Chen","given":"L","non-dropping-particle":"","parse-names":false,"suffix":""},{"dropping-particle":"","family":"Trujillo","given":"K M","non-dropping-particle":"","parse-names":false,"suffix":""},{"dropping-particle":"","family":"Komen","given":"S","non-dropping-particle":"Van","parse-names":false,"suffix":""},{"dropping-particle":"","family":"Roh","given":"D H","non-dropping-particle":"","parse-names":false,"suffix":""},{"dropping-particle":"","family":"Krejci","given":"L","non-dropping-particle":"","parse-names":false,"suffix":""},{"dropping-particle":"","family":"Lewis","given":"L K","non-dropping-particle":"","parse-names":false,"suffix":""},{"dropping-particle":"","family":"Resnick","given":"M A","non-dropping-particle":"","parse-names":false,"suffix":""},{"dropping-particle":"","family":"Sung","given":"P","non-dropping-particle":"","parse-names":false,"suffix":""},{"dropping-particle":"","family":"Tomkinson","given":"A E","non-dropping-particle":"","parse-names":false,"suffix":""}],"container-title":"The Journal of biological chemistry","id":"ITEM-1","issue":"4","issued":{"date-parts":[["2005"]]},"page":"2620-2627","title":"Effect of amino acid substitutions in the rad50 ATP binding domain on DNA double strand break repair in yeast","type":"article-journal","volume":"280"},"uris":["http://www.mendeley.com/documents/?uuid=228dcc71-d866-46f2-aa7b-3f1dc2efc97a"]}],"mendeley":{"formattedCitation":"[1]","plainTextFormattedCitation":"[1]","previouslyFormattedCitation":"[1]"},"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&amp; </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D-loop</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R37A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N38A</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D512N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D512A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E514Q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E515A</w:t>
                  </w:r>
                </w:p>
              </w:tc>
              <w:tc>
                <w:tcPr>
                  <w:tcW w:w="128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T4 </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bacteriophage</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P37A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N38A</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D1238N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D1238A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E1240Q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N1241A</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{"citationItems":[{"id":"ITEM-1","itemData":{"DOI":"10.1074/jbc.M111.256305","abstract":"The ATP binding cassette (ABC) proteins make up a large superfamily with members coming from all kingdoms. The functional form of the ABC protein nucleotide binding domain (NBD) is dimeric with ATP binding sites shared between sub- units. The NBD is defined by six motifs: the Walker A, Q-loop, Signature, Walker-B, D-loop, and H-loop. The D-loop contains a conserved aspartate whose function is not clear but has been proposed to be involved in cross-talk between ATP binding sites. Structures of various ABC proteins suggest an interaction between the D-loop aspartate and an asparagine residue located in WalkerAloop of the opposing subunit. Here, we evaluate the functional role of the D-loop using a bacteriophage T4 ABC protein, Rad50 (gp46). Mutation of either the D-loop aspartate or the Walker A asparagine results in dramatic reductions in ATP affinity, hydrolysis rate, and cooperativity. The mutant proteins bind Mre11 (gp47) and DNA normally, but no longer support the ATP-dependent nuclease activities of Mre11. We propose that the D-loop aspartate functions to stabilize the Walker A asparagine in a position favorable for catalysis. We find that the asparagine is crucially important to the mechanism of ATP hydrolysis by increasing the affinity for ATP and posi- tioning the ? -phosphate of ATP for catalysis. Additionally, we propose that the asparagine acts as a ? -phosphate sensor and, through its interaction with the conserved D-loop aspartate, transmits conformational changes across the dimer interface to the second ATP binding site.","author":[{"dropping-particle":"","family":"La Rosa Metzere Bierlein","given":"","non-dropping-particle":"De","parse-names":false,"suffix":""},{"dropping-particle":"","family":"and Scott W. Nelson","given":"","non-dropping-particle":"","parse-names":false,"suffix":""}],"container-title":"The Journal of biological chemistry","id":"ITEM-1","issue":"29","issued":{"date-parts":[["2011"]]},"page":"26258-26266","title":"An Interaction between the Walker A and D-loop Motifs Is Critical to ATP Hydrolysis and Cooperativity in Bacteriophage","type":"article-journal","volume":"286"},"uris":["http://www.mendeley.com/documents/?uuid=bf3183e7-8be5-42e2-a8c9-0cd8d4513773"]}],"mendeley":{"formattedCitation":"[2]","plainTextFormattedCitation":"[2]","previouslyFormattedCitation":"[2]"},"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[2]</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ATP binding domain </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&amp;</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A</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S14P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R20M</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E21K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G39D (WA)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K40E (WA)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V63E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Q79K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K81I</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N97D</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Q99K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E915V</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A930P</w:t>
                  </w:r>
                </w:p>
              </w:tc>
              <w:tc>
                <w:tcPr>
                  <w:tcW w:w="1280" w:type="dxa"/>
                </w:tcPr>
                <w:p w:rsidR="0056302C" w:rsidRPr="00945E1E" w:rsidRDefault="0056302C" w:rsidP="0056302C">
                  <w:pPr>
                    <w:rPr>
                      <w:rFonts w:ascii="Times New Roman" w:hAnsi="Times New Roman" w:cs="Times New Roman"/>
                      <w:i/>
                      <w:sz w:val="16"/>
                      <w:szCs w:val="16"/>
                    </w:rPr>
                  </w:pPr>
                  <w:bookmarkStart w:id="1" w:name="_Hlk514489707"/>
                  <w:r w:rsidRPr="00945E1E">
                    <w:rPr>
                      <w:rFonts w:ascii="Times New Roman" w:hAnsi="Times New Roman" w:cs="Times New Roman"/>
                      <w:i/>
                      <w:sz w:val="16"/>
                      <w:szCs w:val="16"/>
                    </w:rPr>
                    <w:t>S. cerevisiae</w:t>
                  </w:r>
                  <w:bookmarkEnd w:id="1"/>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S14P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K22M</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Q23K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G41D</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T65E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Q81K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R83I</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S99D</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V101K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K921V</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S936P</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{"citationItems":[{"id":"ITEM-1","itemData":{"DOI":"10.1016/0092-8674(90)90524-I","ISBN":"0092-8674 (Print)","ISSN":"00928674","PMID":"2185891","abstract":"The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author":[{"dropping-particle":"","family":"Alani","given":"Eric","non-dropping-particle":"","parse-names":false,"suffix":""},{"dropping-particle":"","family":"Padmore","given":"Ruth","non-dropping-particle":"","parse-names":false,"suffix":""},{"dropping-particle":"","family":"Kleckner","given":"Nancy","non-dropping-particle":"","parse-names":false,"suffix":""}],"container-title":"Cell","id":"ITEM-1","issue":"3","issued":{"date-parts":[["1990"]]},"page":"419-436","title":"Analysis of wild-type and rad50 mutants of yeast suggests an intimate relationship between meiotic chromosome synapsis and recombination","type":"article-journal","volume":"61"},"uris":["http://www.mendeley.com/documents/?uuid=93727f66-85ff-4c2f-b8a6-0e8e9b7ffdf6"]}],"mendeley":{"formattedCitation":"[3]","plainTextFormattedCitation":"[3]","previouslyFormattedCitation":"[3]"},"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[3]</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ATP binding domain</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K6E =K6E</w:t>
                  </w:r>
                  <w:r w:rsidRPr="0056302C">
                    <w:rPr>
                      <w:rFonts w:ascii="Times New Roman" w:hAnsi="Times New Roman" w:cs="Times New Roman"/>
                      <w:sz w:val="16"/>
                      <w:szCs w:val="16"/>
                      <w:vertAlign w:val="superscript"/>
                    </w:rPr>
                    <w:t>Sc</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K22M=R20M</w:t>
                  </w:r>
                  <w:r w:rsidRPr="0056302C">
                    <w:rPr>
                      <w:rFonts w:ascii="Times New Roman" w:hAnsi="Times New Roman" w:cs="Times New Roman"/>
                      <w:sz w:val="16"/>
                      <w:szCs w:val="16"/>
                      <w:vertAlign w:val="superscript"/>
                    </w:rPr>
                    <w:t>Sc</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R83I=K81</w:t>
                  </w:r>
                  <w:r w:rsidRPr="0056302C">
                    <w:rPr>
                      <w:rFonts w:ascii="Times New Roman" w:hAnsi="Times New Roman" w:cs="Times New Roman"/>
                      <w:sz w:val="16"/>
                      <w:szCs w:val="16"/>
                      <w:vertAlign w:val="superscript"/>
                    </w:rPr>
                    <w:t>Sc</w:t>
                  </w: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M. musculus</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K22M</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R83I</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{"citationItems":[{"id":"ITEM-1","itemData":{"DOI":"10.1101/gad.1007902","ISBN":"0890-9369 (Print)\\r0890-9369 (Linking)","ISSN":"08909369","PMID":"12208847","abstract":"Mre11, Rad50, and Nbs1 function in a protein complex that is central to the metabolism of chromosome breaks. Null mutants of each are inviable. We demonstrate here that hypomorphic Rad50 mutant mice (Rad50(S/S) mice) exhibited growth defects and cancer predisposition. Rad50(S/S) mice died with complete bone marrow depletion as a result of progressive hematopoietic stem cell failure. Similar attrition occurred in spermatogenic cells. In both contexts, attrition was substantially mitigated by p53 deficiency, whereas the tumor latency of p53(-/-) and p53(+/-) animals was reduced by Rad50(S/S). Indices of genotoxic stress and chromosomal rearrangements were evident in Rad50(S/S) cultured cells, as well as in Rad50(S/S) and p53(-/-) Rad50(S/S) lymphomas, suggesting that the Rad50(S/S) phenotype was attributable to chromosomal instability. These outcomes were not associated with overt defects in the Mre11 complex's previously established double strand break repair and cell cycle checkpoint regulation functions. The data indicate that even subtle perturbation of Mre11 complex functions results in severe genotoxic stress, and that the complex is critically important for homeostasis of proliferative tissues.","author":[{"dropping-particle":"","family":"Bender","given":"Carla F.","non-dropping-particle":"","parse-names":false,"suffix":""},{"dropping-particle":"","family":"Sikes","given":"Michael L.","non-dropping-particle":"","parse-names":false,"suffix":""},{"dropping-particle":"","family":"Sullivan","given":"Ruth","non-dropping-particle":"","parse-names":false,"suffix":""},{"dropping-particle":"","family":"Huye","given":"Leslie Erskine","non-dropping-particle":"","parse-names":false,"suffix":""},{"dropping-particle":"","family":"Beau","given":"Michelle M.","non-dropping-particle":"Le","parse-names":false,"suffix":""},{"dropping-particle":"","family":"Roth","given":"David B.","non-dropping-particle":"","parse-names":false,"suffix":""},{"dropping-particle":"","family":"Mirzoeva","given":"Olga K.","non-dropping-particle":"","parse-names":false,"suffix":""},{"dropping-particle":"","family":"Oltz","given":"Eugene M.","non-dropping-particle":"","parse-names":false,"suffix":""},{"dropping-particle":"","family":"Petrini","given":"John H J","non-dropping-particle":"","parse-names":false,"suffix":""}],"container-title":"Genes and Development","id":"ITEM-1","issue":"17","issued":{"date-parts":[["2002"]]},"page":"2237-2251","title":"Cancer predisposition and hematopoietic failure in Rad50S/S mice","type":"article-journal","volume":"16"},"uris":["http://www.mendeley.com/documents/?uuid=c0180c39-861f-4a5a-bad7-a1b28522bd6e"]}],"mendeley":{"formattedCitation":"[4]","plainTextFormattedCitation":"[4]","previouslyFormattedCitation":"[4]"},"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[4]</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B</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&amp; Signature motif</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K39R (WA)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K39M (WA)</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D303N (WB)</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S270R (SM)</w:t>
                  </w:r>
                </w:p>
                <w:p w:rsidR="0056302C" w:rsidRPr="0056302C" w:rsidRDefault="0056302C" w:rsidP="0056302C">
                  <w:pPr>
                    <w:rPr>
                      <w:rFonts w:ascii="Times New Roman" w:hAnsi="Times New Roman" w:cs="Times New Roman"/>
                      <w:sz w:val="16"/>
                      <w:szCs w:val="16"/>
                    </w:rPr>
                  </w:pP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D. </w:t>
                  </w:r>
                  <w:proofErr w:type="spellStart"/>
                  <w:r w:rsidRPr="00945E1E">
                    <w:rPr>
                      <w:rFonts w:ascii="Times New Roman" w:hAnsi="Times New Roman" w:cs="Times New Roman"/>
                      <w:i/>
                      <w:sz w:val="16"/>
                      <w:szCs w:val="16"/>
                    </w:rPr>
                    <w:t>radiodurans</w:t>
                  </w:r>
                  <w:proofErr w:type="spellEnd"/>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K42R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K42M</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D1231N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{"citationItems":[{"id":"ITEM-1","itemData":{"DOI":"10.1038/sj.emboj.7601537","ISBN":"0261-4189 (Print)\\n0261-4189 (Linking)","ISSN":"0261-4189","PMID":"17255941","abstract":"RecF, together with RecO and RecR, belongs to a ubiquitous group of recombination mediators (RMs) that includes eukaryotic proteins such as Rad52 and BRCA2. RMs help maintain genome stability in the presence of DNA damage by loading RecA-like recombinases and displacing single-stranded DNA-binding proteins. Here, we present the crystal structure of RecF from Deinococcus radiodurans. RecF exhibits a high degree of structural similarity with the head domain of Rad50, but lacks its long coiled-coil region. The structural homology between RecF and Rad50 is extensive, encompassing the ATPase subdomain and the so-called 'Lobe II' subdomain of Rad50. The pronounced structural conservation between bacterial RecF and evolutionarily diverged eukaryotic Rad50 implies a conserved mechanism of DNA binding and recognition of the boundaries of double-stranded DNA regions. The RecF structure, mutagenesis of conserved motifs and ATP-dependent dimerization of RecF are discussed with respect to its role in promoting presynaptic complex formation at DNA damage sites.","author":[{"dropping-particle":"","family":"Koroleva","given":"Olga","non-dropping-particle":"","parse-names":false,"suffix":""},{"dropping-particle":"","family":"Makharashvili","given":"Nodar","non-dropping-particle":"","parse-names":false,"suffix":""},{"dropping-particle":"","family":"Courcelle","given":"Charmain T","non-dropping-particle":"","parse-names":false,"suffix":""},{"dropping-particle":"","family":"Courcelle","given":"Justin","non-dropping-particle":"","parse-names":false,"suffix":""},{"dropping-particle":"","family":"Korolev","given":"Sergey","non-dropping-particle":"","parse-names":false,"suffix":""}],"container-title":"The EMBO journal","id":"ITEM-1","issue":"3","issued":{"date-parts":[["2007"]]},"page":"867-77","title":"Structural conservation of RecF and Rad50: implications for DNA recognition and RecF function.","type":"article-journal","volume":"26"},"uris":["http://www.mendeley.com/documents/?uuid=9cf6841d-9c52-48a7-9fb5-55af749d88ab"]}],"mendeley":{"formattedCitation":"[5]","plainTextFormattedCitation":"[5]","previouslyFormattedCitation":"[5]"},"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[5]</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ATPase binding domain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&amp;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Walker B (WB)</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&amp;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 (SM)</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K115E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K175E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K182E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R94E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K95E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R765E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E798Q (WB)</w:t>
                  </w:r>
                </w:p>
                <w:p w:rsidR="0056302C" w:rsidRPr="0056302C" w:rsidRDefault="0056302C" w:rsidP="0056302C">
                  <w:pPr>
                    <w:rPr>
                      <w:rFonts w:ascii="Times New Roman" w:hAnsi="Times New Roman" w:cs="Times New Roman"/>
                      <w:color w:val="FF0000"/>
                      <w:sz w:val="16"/>
                      <w:szCs w:val="16"/>
                    </w:rPr>
                  </w:pPr>
                  <w:r w:rsidRPr="0056302C">
                    <w:rPr>
                      <w:rFonts w:ascii="Times New Roman" w:hAnsi="Times New Roman" w:cs="Times New Roman"/>
                      <w:sz w:val="16"/>
                      <w:szCs w:val="16"/>
                    </w:rPr>
                    <w:t>S768R (SM)</w:t>
                  </w:r>
                </w:p>
                <w:p w:rsidR="0056302C" w:rsidRPr="0056302C" w:rsidRDefault="0056302C" w:rsidP="0056302C">
                  <w:pPr>
                    <w:rPr>
                      <w:rFonts w:ascii="Times New Roman" w:hAnsi="Times New Roman" w:cs="Times New Roman"/>
                      <w:color w:val="FF0000"/>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K99E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K108E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K109E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K110E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K103E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K104E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R131E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R1201E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N190D</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S1205E+E1235Q</w:t>
                  </w:r>
                </w:p>
                <w:p w:rsidR="0056302C" w:rsidRPr="0056302C" w:rsidRDefault="0056302C" w:rsidP="0056302C">
                  <w:pPr>
                    <w:rPr>
                      <w:rFonts w:ascii="Times New Roman" w:hAnsi="Times New Roman" w:cs="Times New Roman"/>
                      <w:sz w:val="16"/>
                      <w:szCs w:val="16"/>
                    </w:rPr>
                  </w:pP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T. </w:t>
                  </w:r>
                  <w:proofErr w:type="spellStart"/>
                  <w:r w:rsidRPr="00945E1E">
                    <w:rPr>
                      <w:rFonts w:ascii="Times New Roman" w:hAnsi="Times New Roman" w:cs="Times New Roman"/>
                      <w:i/>
                      <w:sz w:val="16"/>
                      <w:szCs w:val="16"/>
                    </w:rPr>
                    <w:t>maritima</w:t>
                  </w:r>
                  <w:proofErr w:type="spellEnd"/>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2A0027" w:rsidRPr="00945E1E" w:rsidRDefault="002A0027"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S. cerevisiae</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K132E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T191E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C221E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S106E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G1199E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E1232Q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E110K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E126K</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K127E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K105E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S106E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K132E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R1198E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T191D</w:t>
                  </w:r>
                </w:p>
                <w:p w:rsid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+E1232Q</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{"citationItems":[{"id":"ITEM-1","itemData":{"DOI":"10.15252/embj.201488889","ISSN":"14602075","abstract":"The Mre11–Rad50 nuclease–ATPase is an evolutionarily conserved multifunctional DNA double-strand break (DSB) repair factor. Mre11–Rad50’s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author":[{"dropping-particle":"","family":"Rojowska","given":"Anna","non-dropping-particle":"","parse-names":false,"suffix":""},{"dropping-particle":"","family":"Lammens","given":"Katja","non-dropping-particle":"","parse-names":false,"suffix":""},{"dropping-particle":"","family":"Seifert","given":"Florian U","non-dropping-particle":"","parse-names":false,"suffix":""},{"dropping-particle":"","family":"Direnberger","given":"Carolin","non-dropping-particle":"","parse-names":false,"suffix":""},{"dropping-particle":"","family":"Feldmann","given":"Heidi","non-dropping-particle":"","parse-names":false,"suffix":""}],"container-title":"The EMBO journal","id":"ITEM-1","issue":"23","issued":{"date-parts":[["2014"]]},"page":"2847–2859","title":"Structure of the Rad 50 DNA double-strand break repair protein in complex with DNA","type":"article-journal","volume":"33"},"uris":["http://www.mendeley.com/documents/?uuid=f9e37b5b-e6e2-4a78-961d-dc1155001ff8"]}],"mendeley":{"formattedCitation":"[6]","plainTextFormattedCitation":"[6]","previouslyFormattedCitation":"[6]"},"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[6]</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Zinc hook</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S679R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V683R</w:t>
                  </w: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M. </w:t>
                  </w:r>
                  <w:proofErr w:type="spellStart"/>
                  <w:r w:rsidRPr="00945E1E">
                    <w:rPr>
                      <w:rFonts w:ascii="Times New Roman" w:hAnsi="Times New Roman" w:cs="Times New Roman"/>
                      <w:i/>
                      <w:sz w:val="16"/>
                      <w:szCs w:val="16"/>
                    </w:rPr>
                    <w:t>musclulus</w:t>
                  </w:r>
                  <w:proofErr w:type="spellEnd"/>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S679R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V683R</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{"citationItems":[{"id":"ITEM-1","itemData":{"DOI":"10.1101/gad.236745.113","ISBN":"1549-5477 (Electronic)\\n0890-9369 (Linking)","ISSN":"08909369","PMID":"24532689","abstract":"The Mre11 complex (Mre11, Rad50, and Nbs1) is a central component of the DNA damage response (DDR), governing both double-strand break repair and DDR signaling. Rad50 contains a highly conserved Zn(2+)-dependent homodimerization interface, the Rad50 hook domain. Mutations that inactivate the hook domain produce a null phenotype. In this study, we analyzed mutants with reduced hook domain function in an effort to stratify hook-dependent Mre11 complex functions. One of these alleles, Rad50(46), conferred reduced Zn(2+) affinity and dimerization efficiency. Homozygous Rad50(46/46) mutations were lethal in mice. However, in the presence of wild-type Rad50, Rad50(46) exerted a dominant gain-of-function phenotype associated with chronic DDR signaling. At the organismal level, Rad50(+/46) exhibited hydrocephalus, liver tumorigenesis, and defects in primitive hematopoietic and gametogenic cells. These outcomes were dependent on ATM, as all phenotypes were mitigated in Rad50(+/46) Atm(+/-) mice. These data reveal that the murine Rad50 hook domain strongly influences Mre11 complex-dependent DDR signaling, tissue homeostasis, and tumorigenesis.","author":[{"dropping-particle":"","family":"Roset","given":"Ramon","non-dropping-particle":"","parse-names":false,"suffix":""},{"dropping-particle":"","family":"Inagaki","given":"Akiko","non-dropping-particle":"","parse-names":false,"suffix":""},{"dropping-particle":"","family":"Hohl","given":"Marcel","non-dropping-particle":"","parse-names":false,"suffix":""},{"dropping-particle":"","family":"Brenet","given":"Fabienne","non-dropping-particle":"","parse-names":false,"suffix":""},{"dropping-particle":"","family":"Lafrance-Vanasse","given":"Julien","non-dropping-particle":"","parse-names":false,"suffix":""},{"dropping-particle":"","family":"Lange","given":"Julian","non-dropping-particle":"","parse-names":false,"suffix":""},{"dropping-particle":"","family":"Scandura","given":"Joseph M.","non-dropping-particle":"","parse-names":false,"suffix":""},{"dropping-particle":"","family":"Tainer","given":"John A.","non-dropping-particle":"","parse-names":false,"suffix":""},{"dropping-particle":"","family":"Keeney","given":"Scott","non-dropping-particle":"","parse-names":false,"suffix":""},{"dropping-particle":"","family":"Petrini","given":"John H J","non-dropping-particle":"","parse-names":false,"suffix":""}],"container-title":"Genes and Development","id":"ITEM-1","issue":"5","issued":{"date-parts":[["2014"]]},"page":"451-462","title":"The Rad50 hook domain regulates DNA damage signaling and tumorigenesis","type":"article-journal","volume":"28"},"uris":["http://www.mendeley.com/documents/?uuid=3d2e560b-74aa-460b-be93-18a42e25b504"]}],"mendeley":{"formattedCitation":"[7]","plainTextFormattedCitation":"[7]","previouslyFormattedCitation":"[7]"},"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[7]</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Zinc hook</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C680G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C681G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R686A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C681G+C684G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C680G+C681G+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C684G</w:t>
                  </w: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H. sapiens </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C680G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C681G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R686A</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{"citationItems":[{"id":"ITEM-1","itemData":{"DOI":"10.1093/mutage/gem011","ISBN":"0267-8357 (Print)\\r0267-8357 (Linking)","ISSN":"02678357","PMID":"17426050","abstract":"The Mre11 complex (Mre11-Rad50-Nbs1) is involved in a diverse array of DNA metabolic processes including the response to DNA double-strand breaks (DSBs). The structure of Rad50 plays a key role in the DNA-binding and end-bridging activity of the complex. An interesting feature within the central portion of the Rad50 protein is the Rad50 hook region that is defined by the highly conserved CXXC motif. The structure of the Pyrococcus furiosus Rad50 hook region revealed an intermolecular dimerization of Rad50 through the coordination of a zinc ion by the four cysteines. Biochemical and genetic analysis in Saccharomyces cerevisiae have shown that mutations in the conserved cysteines impact all functions of the Mre11 complex including interaction with Mre11, increased sensitivity to DSB inducing agents, telomere maintenance and intrachromosomal association. Mutations in the yeast hook domain can lead to increased chromosome fragmentation, suggesting that the hook domain of Rad50 is essential for the tethering of chromosome ends. In this study, we have examined the effects of mutating the key cysteine residues in the hook domain of human Rad50 (hRad50), focusing on the interactions Rad50 has with itself, Mre11 and DNA. Our results reveal that mutation of the conserved cysteine residues abrogates dimerization at the hook domain in hRad50; however, disrupting dimerization at this domain does not appear to impair the interaction of full-length hRad50 with itself and hMre11 or affect DNA-binding activity of the hMre11-Rad50 complex.","author":[{"dropping-particle":"","family":"Cahill","given":"Dana","non-dropping-particle":"","parse-names":false,"suffix":""},{"dropping-particle":"","family":"Carney","given":"James P.","non-dropping-particle":"","parse-names":false,"suffix":""}],"container-title":"Mutagenesis","id":"ITEM-1","issue":"4","issued":{"date-parts":[["2007"]]},"page":"269-274","title":"Dimerization of the Rad50 protein is independent of the conserved hook domain","type":"article-journal","volume":"22"},"uris":["http://www.mendeley.com/documents/?uuid=1b7cd767-045d-4e9b-86ec-d0ab992678da"]}],"mendeley":{"formattedCitation":"[8]","plainTextFormattedCitation":"[8]","previouslyFormattedCitation":"[8]"},"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[8]</w:t>
                  </w:r>
                  <w:r w:rsidRPr="0056302C">
                    <w:rPr>
                      <w:rFonts w:ascii="Times New Roman" w:hAnsi="Times New Roman" w:cs="Times New Roman"/>
                      <w:sz w:val="16"/>
                      <w:szCs w:val="16"/>
                    </w:rPr>
                    <w:fldChar w:fldCharType="end"/>
                  </w:r>
                </w:p>
              </w:tc>
            </w:tr>
            <w:tr w:rsidR="0056302C" w:rsidRPr="0056302C" w:rsidTr="002A0027">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Zinc hook </w:t>
                  </w:r>
                </w:p>
              </w:tc>
              <w:tc>
                <w:tcPr>
                  <w:tcW w:w="134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C685A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P686A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V6871</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C688R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Q689S</w:t>
                  </w:r>
                </w:p>
                <w:p w:rsidR="0056302C" w:rsidRPr="0056302C" w:rsidRDefault="0056302C" w:rsidP="0056302C">
                  <w:pPr>
                    <w:rPr>
                      <w:rFonts w:ascii="Times New Roman" w:hAnsi="Times New Roman" w:cs="Times New Roman"/>
                      <w:sz w:val="16"/>
                      <w:szCs w:val="16"/>
                    </w:rPr>
                  </w:pPr>
                </w:p>
              </w:tc>
              <w:tc>
                <w:tcPr>
                  <w:tcW w:w="1280"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S. cerevisiae</w:t>
                  </w:r>
                </w:p>
              </w:tc>
              <w:tc>
                <w:tcPr>
                  <w:tcW w:w="9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C680N</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C681A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P682A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V683I</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Q685S</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{"citationItems":[{"id":"ITEM-1","itemData":{"DOI":"10.1074/jbc.M112.384750","ISBN":"8587847910","ISSN":"00219258","PMID":"22833675","abstract":"The Mre11-Rad50-Nbs1 (MRN) complex plays critical roles in checkpoint activation and double-stranded break (DSB) repair. The Rad50 zinc hook domain mediates zinc-dependent intercomplex associations of MRN, which is important for DNA tethering. Studies in yeast suggest that the Rad50 zinc hook domain is essential for MRN functions, but its role in mammalian cells is not clear. We demonstrated that the human Rad50 hook mutants are severely defective in various DNA damage responses including ATM (Ataxia telangiectasia mutated) activation, homologous recombination, sensitivity to IR, and activation of the ATR pathway. By using live cell imaging, we observed that the Rad50 hook mutants fail to be recruited to chromosomal DSBs, suggesting a novel mechanism underlying the severe defects observed for the Rad50 hook mutants. In vitro analysis showed that Zn(2+) promotes wild type but not the hook mutant of MR to bind double-stranded DNA. In vivo, the Rad50 hook mutants are defective in being recruited to chromosomal DSBs in both H2AX-proficient and -deficient cells, suggesting that the Rad50 hook mutants are impaired in direct binding to chromosomal DSB ends. We propose that the Rad50 zinc hook domain is important for the initial binding of MRN to DSBs, leading to ATM activation to phosphorylate H2AX, which recruits more MRN to the DSB-flanking chromosomal regions. Our studies reveal a critical role for the Rad50 zinc hook domain in establishing and maintaining MRN recruitment to chromosomal DSBs and suggest an important mechanism of how the Rad50 zinc hook domain contributes to DNA repair and checkpoint activation.","author":[{"dropping-particle":"","family":"He","given":"Jing","non-dropping-particle":"","parse-names":false,"suffix":""},{"dropping-particle":"","family":"Shi","given":"Linda Z.","non-dropping-particle":"","parse-names":false,"suffix":""},{"dropping-particle":"","family":"Truong","given":"Lan N.","non-dropping-particle":"","parse-names":false,"suffix":""},{"dropping-particle":"","family":"Lu","given":"Chi Sheng","non-dropping-particle":"","parse-names":false,"suffix":""},{"dropping-particle":"","family":"Razavian","given":"Niema","non-dropping-particle":"","parse-names":false,"suffix":""},{"dropping-particle":"","family":"Li","given":"Yongjiang","non-dropping-particle":"","parse-names":false,"suffix":""},{"dropping-particle":"","family":"Negrete","given":"Alejandro","non-dropping-particle":"","parse-names":false,"suffix":""},{"dropping-particle":"","family":"Shiloach","given":"Joseph","non-dropping-particle":"","parse-names":false,"suffix":""},{"dropping-particle":"","family":"Berns","given":"Michael W.","non-dropping-particle":"","parse-names":false,"suffix":""},{"dropping-particle":"","family":"Wu","given":"Xiaohua","non-dropping-particle":"","parse-names":false,"suffix":""}],"container-title":"Journal of Biological Chemistry","id":"ITEM-1","issue":"38","issued":{"date-parts":[["2012"]]},"page":"31747-31756","title":"Rad50 zinc hook is important for the Mre11 complex to bind chromosomal DNA double-stranded breaks and initiate various DNA damage responses","type":"article-journal","volume":"287"},"uris":["http://www.mendeley.com/documents/?uuid=49e8f08f-a3a2-4829-8ada-91c2f4237b37"]}],"mendeley":{"formattedCitation":"[9]","plainTextFormattedCitation":"[9]","previouslyFormattedCitation":"[9]"},"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[9]</w:t>
                  </w:r>
                  <w:r w:rsidRPr="0056302C">
                    <w:rPr>
                      <w:rFonts w:ascii="Times New Roman" w:hAnsi="Times New Roman" w:cs="Times New Roman"/>
                      <w:sz w:val="16"/>
                      <w:szCs w:val="16"/>
                    </w:rPr>
                    <w:fldChar w:fldCharType="end"/>
                  </w:r>
                </w:p>
              </w:tc>
            </w:tr>
          </w:tbl>
          <w:p w:rsidR="0056302C" w:rsidRPr="0056302C" w:rsidRDefault="0056302C">
            <w:pPr>
              <w:rPr>
                <w:rFonts w:ascii="Times New Roman" w:hAnsi="Times New Roman" w:cs="Times New Roman"/>
                <w:b/>
                <w:sz w:val="16"/>
                <w:szCs w:val="16"/>
                <w:u w:val="single"/>
              </w:rPr>
            </w:pPr>
          </w:p>
        </w:tc>
        <w:tc>
          <w:tcPr>
            <w:tcW w:w="5228" w:type="dxa"/>
          </w:tcPr>
          <w:p w:rsidR="0056302C" w:rsidRPr="0056302C" w:rsidRDefault="0056302C">
            <w:pPr>
              <w:rPr>
                <w:rFonts w:ascii="Times New Roman" w:hAnsi="Times New Roman" w:cs="Times New Roman"/>
                <w:b/>
                <w:sz w:val="16"/>
                <w:szCs w:val="16"/>
                <w:u w:val="single"/>
              </w:rPr>
            </w:pPr>
          </w:p>
          <w:tbl>
            <w:tblPr>
              <w:tblStyle w:val="TableGrid"/>
              <w:tblW w:w="5032" w:type="dxa"/>
              <w:tblLook w:val="04A0" w:firstRow="1" w:lastRow="0" w:firstColumn="1" w:lastColumn="0" w:noHBand="0" w:noVBand="1"/>
            </w:tblPr>
            <w:tblGrid>
              <w:gridCol w:w="830"/>
              <w:gridCol w:w="1297"/>
              <w:gridCol w:w="1114"/>
              <w:gridCol w:w="1303"/>
              <w:gridCol w:w="488"/>
            </w:tblGrid>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Motif</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Mutations</w:t>
                  </w:r>
                </w:p>
              </w:tc>
              <w:tc>
                <w:tcPr>
                  <w:tcW w:w="1114"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Organism</w:t>
                  </w:r>
                </w:p>
              </w:tc>
              <w:tc>
                <w:tcPr>
                  <w:tcW w:w="1303" w:type="dxa"/>
                </w:tcPr>
                <w:p w:rsidR="0056302C" w:rsidRPr="0056302C" w:rsidRDefault="00085111" w:rsidP="0056302C">
                  <w:pPr>
                    <w:rPr>
                      <w:rFonts w:ascii="Times New Roman" w:hAnsi="Times New Roman" w:cs="Times New Roman"/>
                      <w:sz w:val="16"/>
                      <w:szCs w:val="16"/>
                    </w:rPr>
                  </w:pPr>
                  <w:r>
                    <w:rPr>
                      <w:rFonts w:ascii="Times New Roman" w:hAnsi="Times New Roman" w:cs="Times New Roman"/>
                      <w:sz w:val="16"/>
                      <w:szCs w:val="16"/>
                    </w:rPr>
                    <w:t>Equivalent to h</w:t>
                  </w:r>
                  <w:r w:rsidR="0056302C" w:rsidRPr="0056302C">
                    <w:rPr>
                      <w:rFonts w:ascii="Times New Roman" w:hAnsi="Times New Roman" w:cs="Times New Roman"/>
                      <w:sz w:val="16"/>
                      <w:szCs w:val="16"/>
                    </w:rPr>
                    <w:t xml:space="preserve">uman </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residue</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Ref.</w:t>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Zinc hook &amp;</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coiled coil domain (ATPase domain)</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C288S</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C291S</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C312S</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K211P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K351P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S183C</w:t>
                  </w:r>
                </w:p>
              </w:tc>
              <w:tc>
                <w:tcPr>
                  <w:tcW w:w="1114"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T4 </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bacteriophage</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C681S</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C684S</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C990S</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K256P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N1028P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M208C</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{"citationItems":[{"id":"ITEM-1","itemData":{"DOI":"10.1074/jbc.M115.675132","ISSN":"1083351X","PMID":"26242734","abstract":"Rad50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excision.","author":[{"dropping-particle":"","family":"Barfoot","given":"Tasida","non-dropping-particle":"","parse-names":false,"suffix":""},{"dropping-particle":"","family":"Herdendorf","given":"Timothy J.","non-dropping-particle":"","parse-names":false,"suffix":""},{"dropping-particle":"","family":"Behning","given":"Bryanna R.","non-dropping-particle":"","parse-names":false,"suffix":""},{"dropping-particle":"","family":"Stohr","given":"Bradley A.","non-dropping-particle":"","parse-names":false,"suffix":""},{"dropping-particle":"","family":"Gao","given":"Yang","non-dropping-particle":"","parse-names":false,"suffix":""},{"dropping-particle":"","family":"Kreuzer","given":"Kenneth N.","non-dropping-particle":"","parse-names":false,"suffix":""},{"dropping-particle":"","family":"Nelson","given":"Scott W.","non-dropping-particle":"","parse-names":false,"suffix":""}],"container-title":"Journal of Biological Chemistry","id":"ITEM-1","issue":"39","issued":{"date-parts":[["2015"]]},"page":"23905-23915","title":"Functional analysis of the bacteriophage T4 Rad50 Homolog (gp46) Coiled-coil Domain","type":"article-journal","volume":"290"},"uris":["http://www.mendeley.com/documents/?uuid=312b9e85-d7a5-46ff-a23f-a926db80392d"]}],"mendeley":{"formattedCitation":"[10]","plainTextFormattedCitation":"[10]","previouslyFormattedCitation":"[10]"},"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[10]</w:t>
                  </w:r>
                  <w:r w:rsidRPr="0056302C">
                    <w:rPr>
                      <w:rFonts w:ascii="Times New Roman" w:hAnsi="Times New Roman" w:cs="Times New Roman"/>
                      <w:sz w:val="16"/>
                      <w:szCs w:val="16"/>
                    </w:rPr>
                    <w:fldChar w:fldCharType="end"/>
                  </w:r>
                </w:p>
              </w:tc>
            </w:tr>
            <w:tr w:rsidR="0056302C" w:rsidRPr="0056302C" w:rsidTr="0056302C">
              <w:trPr>
                <w:trHeight w:val="274"/>
              </w:trPr>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Zinc hook</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&amp;</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coiled coil domain (ATPase domain)</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S685R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Y688E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Y688R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L689R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I680V</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K700Q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L703F</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V285A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N607Y</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N873I</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S193F</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S cerevisiae</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S679R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P682E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P682R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V683R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L673V</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L694Q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V697F</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M293A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S603Y</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Q886I</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Q194F</w:t>
                  </w: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{"citationItems":[{"id":"ITEM-1","itemData":{"DOI":"10.1016/j.molcel.2014.12.018","ISSN":"10974164","PMID":"25601756","abstract":"Rad50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author":[{"dropping-particle":"","family":"Hohl","given":"Marcel","non-dropping-particle":"","parse-names":false,"suffix":""},{"dropping-particle":"","family":"Kocha??czyk","given":"Tomasz","non-dropping-particle":"","parse-names":false,"suffix":""},{"dropping-particle":"","family":"Tous","given":"Cristina","non-dropping-particle":"","parse-names":false,"suffix":""},{"dropping-particle":"","family":"Aguilera","given":"Andr??s","non-dropping-particle":"","parse-names":false,"suffix":""},{"dropping-particle":"","family":"KrEzel","given":"Artur","non-dropping-particle":"","parse-names":false,"suffix":""},{"dropping-particle":"","family":"Petrini","given":"John H J","non-dropping-particle":"","parse-names":false,"suffix":""}],"container-title":"Molecular Cell","id":"ITEM-1","issue":"3","issued":{"date-parts":[["2015"]]},"page":"479-492","title":"Interdependence of the Rad50 Hook and Globular domain functions","type":"article-journal","volume":"57"},"uris":["http://www.mendeley.com/documents/?uuid=1d8e16ac-5a3e-45c0-9e5c-dc96e1172449"]}],"mendeley":{"formattedCitation":"[11]","plainTextFormattedCitation":"[11]","previouslyFormattedCitation":"[11]"},"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[11]</w:t>
                  </w:r>
                  <w:r w:rsidRPr="0056302C">
                    <w:rPr>
                      <w:rFonts w:ascii="Times New Roman" w:hAnsi="Times New Roman" w:cs="Times New Roman"/>
                      <w:sz w:val="16"/>
                      <w:szCs w:val="16"/>
                    </w:rPr>
                    <w:fldChar w:fldCharType="end"/>
                  </w:r>
                </w:p>
              </w:tc>
            </w:tr>
            <w:tr w:rsidR="0056302C" w:rsidRPr="0056302C" w:rsidTr="0056302C">
              <w:trPr>
                <w:trHeight w:val="274"/>
              </w:trPr>
              <w:tc>
                <w:tcPr>
                  <w:tcW w:w="830" w:type="dxa"/>
                </w:tcPr>
                <w:p w:rsidR="0056302C" w:rsidRPr="0056302C" w:rsidRDefault="00945E1E" w:rsidP="0056302C">
                  <w:pPr>
                    <w:rPr>
                      <w:rFonts w:ascii="Times New Roman" w:hAnsi="Times New Roman" w:cs="Times New Roman"/>
                      <w:sz w:val="16"/>
                      <w:szCs w:val="16"/>
                    </w:rPr>
                  </w:pPr>
                  <w:r>
                    <w:rPr>
                      <w:rFonts w:ascii="Times New Roman" w:hAnsi="Times New Roman" w:cs="Times New Roman"/>
                      <w:sz w:val="16"/>
                      <w:szCs w:val="16"/>
                    </w:rPr>
                    <w:t>Zink</w:t>
                  </w:r>
                  <w:r w:rsidR="0056302C" w:rsidRPr="0056302C">
                    <w:rPr>
                      <w:rFonts w:ascii="Times New Roman" w:hAnsi="Times New Roman" w:cs="Times New Roman"/>
                      <w:sz w:val="16"/>
                      <w:szCs w:val="16"/>
                    </w:rPr>
                    <w:t xml:space="preserve"> hook</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 xml:space="preserve">S635G </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H. sapiens</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S635G</w:t>
                  </w:r>
                </w:p>
                <w:p w:rsidR="0056302C" w:rsidRPr="0056302C" w:rsidRDefault="0056302C" w:rsidP="0056302C">
                  <w:pPr>
                    <w:rPr>
                      <w:rFonts w:ascii="Times New Roman" w:hAnsi="Times New Roman" w:cs="Times New Roman"/>
                      <w:sz w:val="16"/>
                      <w:szCs w:val="16"/>
                    </w:rPr>
                  </w:pPr>
                </w:p>
              </w:tc>
              <w:tc>
                <w:tcPr>
                  <w:tcW w:w="488" w:type="dxa"/>
                </w:tcPr>
                <w:p w:rsidR="0056302C" w:rsidRPr="0056302C" w:rsidRDefault="0056302C" w:rsidP="0056302C">
                  <w:pPr>
                    <w:jc w:val="cente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{"citationItems":[{"id":"ITEM-1","itemData":{"DOI":"10.1074/jbc.M111.258152","ISBN":"1083-351X (Electronic)\\r0021-9258 (Linking)","ISSN":"00219258","PMID":"21757780","abstract":"The Mre11/Rad50/NBN complex plays a central role in coordinating the cellular response to DNA double-strand breaks. The importance of Rad50 in that response is evident from the recent description of a patient with Rad50 deficiency characterized by chromosomal instability and defective ATM-dependent signaling. We report here that ATM (defective in ataxia-telangiectasia) phosphorylates Rad50 at a single site (Ser-635) that plays an important adaptor role in signaling for cell cycle control and DNA repair. Although a Rad50 phosphosite-specific mutant (S635G) supported normal activation of ATM in Rad50-deficient cells, it was defective in correcting DNA damage-induced signaling through the ATM-dependent substrate SMC1. This mutant also failed to correct radiosensitivity, DNA double-strand break repair, and an S-phase checkpoint defect in Rad50-deficient cells. This was not due to disruption of the Mre11/Rad50/NBN complex revealing for the first time that phosphorylation of Rad50 plays a key regulatory role as an adaptor for specific ATM-dependent downstream signaling through SMC1 for DNA repair and cell cycle checkpoint control in the maintenance of genome integrity.","author":[{"dropping-particle":"","family":"Gatei","given":"Magtouf","non-dropping-particle":"","parse-names":false,"suffix":""},{"dropping-particle":"","family":"Jakob","given":"Burkhard","non-dropping-particle":"","parse-names":false,"suffix":""},{"dropping-particle":"","family":"Chen","given":"Philip","non-dropping-particle":"","parse-names":false,"suffix":""},{"dropping-particle":"","family":"Kijas","given":"Amanda W.","non-dropping-particle":"","parse-names":false,"suffix":""},{"dropping-particle":"","family":"Becherel","given":"Olivier J.","non-dropping-particle":"","parse-names":false,"suffix":""},{"dropping-particle":"","family":"Gueven","given":"Nuri","non-dropping-particle":"","parse-names":false,"suffix":""},{"dropping-particle":"","family":"Birrell","given":"Geoff","non-dropping-particle":"","parse-names":false,"suffix":""},{"dropping-particle":"","family":"Lee","given":"Ji Hoon","non-dropping-particle":"","parse-names":false,"suffix":""},{"dropping-particle":"","family":"Paull","given":"Tanya T.","non-dropping-particle":"","parse-names":false,"suffix":""},{"dropping-particle":"","family":"Lerenthal","given":"Yaniv","non-dropping-particle":"","parse-names":false,"suffix":""},{"dropping-particle":"","family":"Fazry","given":"Shazrul","non-dropping-particle":"","parse-names":false,"suffix":""},{"dropping-particle":"","family":"Taucher-Scholz","given":"Gisela","non-dropping-particle":"","parse-names":false,"suffix":""},{"dropping-particle":"","family":"Kalb","given":"Reinhard","non-dropping-particle":"","parse-names":false,"suffix":""},{"dropping-particle":"","family":"Schindler","given":"Detlev","non-dropping-particle":"","parse-names":false,"suffix":""},{"dropping-particle":"","family":"Waltes","given":"Regina","non-dropping-particle":"","parse-names":false,"suffix":""},{"dropping-particle":"","family":"D??rk","given":"Thilo","non-dropping-particle":"","parse-names":false,"suffix":""},{"dropping-particle":"","family":"Lavin","given":"Martin F.","non-dropping-particle":"","parse-names":false,"suffix":""}],"container-title":"Journal of Biological Chemistry","id":"ITEM-1","issue":"36","issued":{"date-parts":[["2011"]]},"page":"31542-31556","title":"ATM protein-dependent phosphorylation of Rad50 protein Regulates DNA repair and cell cycle control","type":"article-journal","volume":"286"},"uris":["http://www.mendeley.com/documents/?uuid=43e190ad-7dc1-49c2-a881-0344f6bb2818"]}],"mendeley":{"formattedCitation":"[12]","plainTextFormattedCitation":"[12]","previouslyFormattedCitation":"[12]"},"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[12]</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 &amp;</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ATPase domain</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R797G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R805E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R805W</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L802W</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L806F</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K155A</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P. </w:t>
                  </w:r>
                  <w:proofErr w:type="spellStart"/>
                  <w:r w:rsidRPr="00945E1E">
                    <w:rPr>
                      <w:rFonts w:ascii="Times New Roman" w:hAnsi="Times New Roman" w:cs="Times New Roman"/>
                      <w:i/>
                      <w:sz w:val="16"/>
                      <w:szCs w:val="16"/>
                    </w:rPr>
                    <w:t>furiosus</w:t>
                  </w:r>
                  <w:proofErr w:type="spellEnd"/>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K1206G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R1214E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R1214W</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L1211W</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L1215F</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Q174A</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{"citationItems":[{"id":"ITEM-1","itemData":{"DOI":"10.1002/embj.201386100","ISBN":"1460-2075 (Electronic)\\r0261-4189 (Linking)","ISSN":"14602075","PMID":"24493214","abstract":"The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breaks.","author":[{"dropping-particle":"","family":"Deshpande","given":"Rajashree A.","non-dropping-particle":"","parse-names":false,"suffix":""},{"dropping-particle":"","family":"Williams","given":"Gareth J.","non-dropping-particle":"","parse-names":false,"suffix":""},{"dropping-particle":"","family":"Limbo","given":"Oliver","non-dropping-particle":"","parse-names":false,"suffix":""},{"dropping-particle":"","family":"Williams","given":"R. Scott","non-dropping-particle":"","parse-names":false,"suffix":""},{"dropping-particle":"","family":"Kuhnlein","given":"Jeff","non-dropping-particle":"","parse-names":false,"suffix":""},{"dropping-particle":"","family":"Lee","given":"Ji Hoon","non-dropping-particle":"","parse-names":false,"suffix":""},{"dropping-particle":"","family":"Classen","given":"Scott","non-dropping-particle":"","parse-names":false,"suffix":""},{"dropping-particle":"","family":"Guenther","given":"Grant","non-dropping-particle":"","parse-names":false,"suffix":""},{"dropping-particle":"","family":"Russell","given":"Paul","non-dropping-particle":"","parse-names":false,"suffix":""},{"dropping-particle":"","family":"Tainer","given":"John A.","non-dropping-particle":"","parse-names":false,"suffix":""},{"dropping-particle":"","family":"Paull","given":"Tanya T.","non-dropping-particle":"","parse-names":false,"suffix":""}],"container-title":"EMBO Journal","id":"ITEM-1","issue":"5","issued":{"date-parts":[["2014"]]},"page":"482-500","title":"ATP-driven Rad50 conformations regulate DNA tethering, end resection, and ATM checkpoint signaling","type":"article-journal","volume":"33"},"uris":["http://www.mendeley.com/documents/?uuid=52ca34c0-bd2a-4e48-ae0d-77c445a07077"]}],"mendeley":{"formattedCitation":"[13]","plainTextFormattedCitation":"[13]","previouslyFormattedCitation":"[13]"},"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[13]</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K1187A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K1187E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R1195A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R1195E</w:t>
                  </w:r>
                </w:p>
              </w:tc>
              <w:tc>
                <w:tcPr>
                  <w:tcW w:w="1114" w:type="dxa"/>
                </w:tcPr>
                <w:p w:rsidR="0056302C" w:rsidRPr="00945E1E" w:rsidRDefault="0056302C" w:rsidP="0056302C">
                  <w:pPr>
                    <w:rPr>
                      <w:rFonts w:ascii="Times New Roman" w:hAnsi="Times New Roman" w:cs="Times New Roman"/>
                      <w:i/>
                      <w:sz w:val="16"/>
                      <w:szCs w:val="16"/>
                    </w:rPr>
                  </w:pPr>
                  <w:proofErr w:type="spellStart"/>
                  <w:proofErr w:type="gramStart"/>
                  <w:r w:rsidRPr="00945E1E">
                    <w:rPr>
                      <w:rFonts w:ascii="Times New Roman" w:hAnsi="Times New Roman" w:cs="Times New Roman"/>
                      <w:i/>
                      <w:sz w:val="16"/>
                      <w:szCs w:val="16"/>
                    </w:rPr>
                    <w:t>S.pombe</w:t>
                  </w:r>
                  <w:proofErr w:type="spellEnd"/>
                  <w:proofErr w:type="gramEnd"/>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K1206A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K1206E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R1214A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R1214E</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{"citationItems":[{"id":"ITEM-1","itemData":{"DOI":"10.1038/nsmb0911-1084c","ISBN":"1545-9985 (Electronic)\\n1545-9985 (Linking)","ISSN":"1545-9993","PMID":"21441914","abstract":"The Rad50 ABC-ATPase complex with Mre11 nuclease is essential for dsDNA break repair, telomere maintenance and ataxia telangiectasia-mutated kinase checkpoint signaling. How Rad50 affects Mre11 functions and how ABC-ATPases communicate nucleotide binding and ligand states across long distances and among protein partners are questions that have remained obscure. Here, structures of Mre11-Rad50 complexes define the Mre11 2-helix Rad50 binding domain (RBD) that forms a four-helix interface with Rad50 coiled coils adjoining the ATPase core. Newly identified effector and basic-switch helix motifs extend the ABC-ATPase signature motif to link ATP-driven Rad50 movements to coiled coils binding Mre11, implying an ~30-Å pull on the linker to the nuclease domain. Both RBD and basic-switch mutations cause clastogen sensitivity. Our new results characterize flexible ATP-dependent Mre11 regulation, defects in cancer-linked RBD mutations, conserved superfamily basic switches and motifs effecting ATP-driven conformational change, and they provide a unified comprehension of ABC-ATPase activities.","author":[{"dropping-particle":"","family":"Williams","given":"Gareth J","non-dropping-particle":"","parse-names":false,"suffix":""},{"dropping-particle":"","family":"Williams","given":"R Scott","non-dropping-particle":"","parse-names":false,"suffix":""},{"dropping-particle":"","family":"Williams","given":"Jessica S","non-dropping-particle":"","parse-names":false,"suffix":""},{"dropping-particle":"","family":"Moncalian","given":"Gabriel","non-dropping-particle":"","parse-names":false,"suffix":""},{"dropping-particle":"","family":"Arvai","given":"Andrew S","non-dropping-particle":"","parse-names":false,"suffix":""},{"dropping-particle":"","family":"Limbo","given":"Oliver","non-dropping-particle":"","parse-names":false,"suffix":""},{"dropping-particle":"","family":"Guenther","given":"Grant","non-dropping-particle":"","parse-names":false,"suffix":""},{"dropping-particle":"","family":"SilDas","given":"Soumita","non-dropping-particle":"","parse-names":false,"suffix":""},{"dropping-particle":"","family":"Hammel","given":"Michal","non-dropping-particle":"","parse-names":false,"suffix":""},{"dropping-particle":"","family":"Russell","given":"Paul","non-dropping-particle":"","parse-names":false,"suffix":""},{"dropping-particle":"","family":"Tainer","given":"John a","non-dropping-particle":"","parse-names":false,"suffix":""}],"container-title":"Nature structural &amp; molecular biology","id":"ITEM-1","issue":"4","issued":{"date-parts":[["2011"]]},"page":"423-431","title":"ABC ATPase signature helices in Rad50 link nucleotide state to Mre11 interface for DNA repair.","type":"article-journal","volume":"18"},"uris":["http://www.mendeley.com/documents/?uuid=e8dad421-1fa6-4755-a162-654a6f0a3e5a"]}],"mendeley":{"formattedCitation":"[14]","plainTextFormattedCitation":"[14]","previouslyFormattedCitation":"[14]"},"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[14]</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 &amp; Q loop</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S793R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Q140H</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P. </w:t>
                  </w:r>
                  <w:proofErr w:type="spellStart"/>
                  <w:r w:rsidRPr="00945E1E">
                    <w:rPr>
                      <w:rFonts w:ascii="Times New Roman" w:hAnsi="Times New Roman" w:cs="Times New Roman"/>
                      <w:i/>
                      <w:sz w:val="16"/>
                      <w:szCs w:val="16"/>
                    </w:rPr>
                    <w:t>furiosus</w:t>
                  </w:r>
                  <w:proofErr w:type="spellEnd"/>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Q159H</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{"citationItems":[{"id":"ITEM-1","itemData":{"DOI":"10.1016/j.jmb.2003.11.026","ISBN":"0022-2836 (Print)\\r0022-2836 (Linking)","ISSN":"00222836","PMID":"14698290","abstract":"The repair of double-strand breaks in DNA is an essential process in all organisms, and requires the coordinated activities of evolutionarily conserved protein assemblies. One of the most critical of these is the Mre11/Rad50 (M/R) complex, which is present in all three biological kingdoms, but is not well-understood at the biochemical level. Previous structural analysis of a Rad50 homolog from archaebacteria illuminated the catalytic core of the enzyme, an ATP-binding domain related to the ABC transporter family of ATPases. Here, we present the crystallographic structure of the Rad50 mutant S793R. This missense signature motif mutation changes the key serine residue in the signature motif that is conserved among Rad50 homologs and ABC ATPases. The S793R mutation is analogous to the mutation S549R in the cystic fibrosis transmembrane conductance regulator (CFTR) that results in cystic fibrosis. We show here that the serine to arginine change in the Rad50 protein prevents ATP binding and disrupts the communication among the other ATP-binding loops. This structural change, in turn, alters the communication between Rad50 monomers and thus prevents Rad50 dimerization. The equivalent mutation was made in the human Rad50 gene, and the resulting mutant protein did form a complex with Mre11 and Nbs1, but was specifically deficient in all ATP-dependent enzymatic activities. This signature motif structure-function homology extends to yeast, because the same mutation introduced into the Saccharomyces cerevisiae RAD50 gene generated an allele that failed to complement a rad50 deletion strain in DNA repair assays in vivo. These structural and biochemical results extend our understanding of the Rad50 catalytic domain and validate the use of the signature motif mutant to test the role of Rad50 ATP binding in diverse organisms. ?? 2003 Elsevier Ltd. All rights reserved.","author":[{"dropping-particle":"","family":"Moncalian","given":"Gabriel","non-dropping-particle":"","parse-names":false,"suffix":""},{"dropping-particle":"","family":"Lengsfeld","given":"Bettina","non-dropping-particle":"","parse-names":false,"suffix":""},{"dropping-particle":"","family":"Bhaskara","given":"Venugopal","non-dropping-particle":"","parse-names":false,"suffix":""},{"dropping-particle":"","family":"Hopfner","given":"Karl Peter","non-dropping-particle":"","parse-names":false,"suffix":""},{"dropping-particle":"","family":"Karcher","given":"Annette","non-dropping-particle":"","parse-names":false,"suffix":""},{"dropping-particle":"","family":"Alden","given":"Erinn","non-dropping-particle":"","parse-names":false,"suffix":""},{"dropping-particle":"","family":"Tainer","given":"John A.","non-dropping-particle":"","parse-names":false,"suffix":""},{"dropping-particle":"","family":"Paull","given":"Tanya T.","non-dropping-particle":"","parse-names":false,"suffix":""}],"container-title":"Journal of Molecular Biology","id":"ITEM-1","issue":"4","issued":{"date-parts":[["2004"]]},"page":"937-951","title":"The Rad50 Signature Motif: Essential to ATP Binding and Biological Function","type":"article-journal","volume":"335"},"uris":["http://www.mendeley.com/documents/?uuid=8069d6f2-c8ec-4df3-8b51-2abca48e6e2e"]}],"mendeley":{"formattedCitation":"[15]","plainTextFormattedCitation":"[15]","previouslyFormattedCitation":"[15]"},"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[15]</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S471A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S471R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S471M</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E472G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E474Q</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K475M</w:t>
                  </w:r>
                </w:p>
              </w:tc>
              <w:tc>
                <w:tcPr>
                  <w:tcW w:w="1114" w:type="dxa"/>
                </w:tcPr>
                <w:p w:rsidR="0056302C" w:rsidRPr="00760B13" w:rsidRDefault="0056302C" w:rsidP="0056302C">
                  <w:pPr>
                    <w:rPr>
                      <w:rFonts w:ascii="Times New Roman" w:hAnsi="Times New Roman" w:cs="Times New Roman"/>
                      <w:sz w:val="16"/>
                      <w:szCs w:val="16"/>
                    </w:rPr>
                  </w:pPr>
                  <w:r w:rsidRPr="00760B13">
                    <w:rPr>
                      <w:rFonts w:ascii="Times New Roman" w:hAnsi="Times New Roman" w:cs="Times New Roman"/>
                      <w:sz w:val="16"/>
                      <w:szCs w:val="16"/>
                    </w:rPr>
                    <w:t xml:space="preserve">T4 </w:t>
                  </w:r>
                </w:p>
                <w:p w:rsidR="0056302C" w:rsidRPr="00945E1E" w:rsidRDefault="0056302C" w:rsidP="0056302C">
                  <w:pPr>
                    <w:rPr>
                      <w:rFonts w:ascii="Times New Roman" w:hAnsi="Times New Roman" w:cs="Times New Roman"/>
                      <w:i/>
                      <w:sz w:val="16"/>
                      <w:szCs w:val="16"/>
                    </w:rPr>
                  </w:pPr>
                  <w:r w:rsidRPr="00760B13">
                    <w:rPr>
                      <w:rFonts w:ascii="Times New Roman" w:hAnsi="Times New Roman" w:cs="Times New Roman"/>
                      <w:sz w:val="16"/>
                      <w:szCs w:val="16"/>
                    </w:rPr>
                    <w:t>bacteriophage</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S1202A</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S1202M</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A1203G</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Q1205E</w:t>
                  </w: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K1206M</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{"citationItems":[{"id":"ITEM-1","itemData":{"DOI":"10.1021/bi200184w","ISSN":"00062960","PMID":"21675703","abstract":"The repair of DNA double-strand breaks (DSBs) is essential to maintaining the integrity of the genome, and organisms have evolved a conserved mechanism to facilitate their repair. In eukaryotes, archaea, and some bacteriophage, a complex made up of Mre11 and Rad50 (MR complex), which are a nuclease and ATPase, respectively, is involved in the initial processing of DSBs. Rad50 is a member of the ATP Binding Cassette (ABC) protein superfamily, the members of which contain an important Signature motif that acts in trans to complete the dimeric ATP binding site. To explore the functional relevance of this motif, four of its five residues were mutated in bacteriophage T4 Rad50, and their respective ATPase and nuclease activities were evaluated. The mutations reveal the functional roles of the Signature motif in ATP binding, hydrolysis, and cooperativity. In several mutants, the degree of DNA activation of ATP hydrolysis activity is reduced, indicating that the Signature motif is involved in allosteric signal transmission between the DNA and ATP binding sites of the MR complex. ATP hydrolysis is not required for nuclease activity when the probe is near the beginning of the DNA substrate; however, when an internal probe is used, decreases in ATPase activity have substantial effects on nuclease activity, suggesting that ATP hydrolysis is involved in translocation of the complex. Unexpectedly, the ATP hydrolysis and nuclease activities are not directly correlated with each other, and each mutation appears to differentially affect the exonuclease activity of Mre11.","author":[{"dropping-particle":"","family":"Herdendorf","given":"Timothy J.","non-dropping-particle":"","parse-names":false,"suffix":""},{"dropping-particle":"","family":"Nelson","given":"Scott W.","non-dropping-particle":"","parse-names":false,"suffix":""}],"container-title":"Biochemistry","id":"ITEM-1","issue":"27","issued":{"date-parts":[["2011"]]},"page":"6030-6040","title":"Functional evaluation of bacteriophage T4 Rad50 signature motif residues","type":"article-journal","volume":"50"},"uris":["http://www.mendeley.com/documents/?uuid=946d9186-4def-4571-a3bd-245e3fc1fc67"]}],"mendeley":{"formattedCitation":"[16]","plainTextFormattedCitation":"[16]","previouslyFormattedCitation":"[16]"},"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[16]</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Signature motif</w:t>
                  </w: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S1205R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S793R</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S. cerevisiae</w:t>
                  </w: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 xml:space="preserve">P. </w:t>
                  </w:r>
                  <w:proofErr w:type="spellStart"/>
                  <w:r w:rsidRPr="00945E1E">
                    <w:rPr>
                      <w:rFonts w:ascii="Times New Roman" w:hAnsi="Times New Roman" w:cs="Times New Roman"/>
                      <w:i/>
                      <w:sz w:val="16"/>
                      <w:szCs w:val="16"/>
                    </w:rPr>
                    <w:t>furiosus</w:t>
                  </w:r>
                  <w:proofErr w:type="spellEnd"/>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p>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H. sapiens</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S1202R</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{"citationItems":[{"id":"ITEM-1","itemData":{"DOI":"10.1016/j.molcel.2007.01.028","ISBN":"1097-2765 (Print)\\r1097-2765 (Linking)","ISSN":"10972765","PMID":"17349953","abstract":"Mre11 and Rad50 are the catalytic components of a highly conserved DNA repair complex that functions in many aspects of DNA metabolism involving double-strand breaks. The ATPase domains in Rad50 are related to the ABC transporter family of ATPases, previously shown to share structural similarities with adenylate kinases. Here we demonstrate that Mre11/Rad50 complexes from three organisms catalyze the reversible adenylate kinase reaction in vitro. Mutation of the conserved signature motif reduces the adenylate kinase activity of Rad50 but does not reduce ATP hydrolysis. This mutant resembles a rad50 null strain with respect to meiosis and telomere maintenance in S. cerevisiae, correlating adenylate kinase activity with in vivo functions. An adenylate kinase inhibitor blocks Mre11/Rad50-dependent DNA tethering in vitro and in cell-free extracts, indicating that adenylate kinase activity by Mre11/Rad50 promotes DNA-DNA associations. We propose a model for Rad50 that incorporates both ATPase and adenylate kinase reactions as critical activities that regulate Rad50 functions. ?? 2007 Elsevier Inc. All rights reserved.","author":[{"dropping-particle":"","family":"Bhaskara","given":"Venugopal","non-dropping-particle":"","parse-names":false,"suffix":""},{"dropping-particle":"","family":"Dupr","given":"Aude","non-dropping-particle":"","parse-names":false,"suffix":""},{"dropping-particle":"","family":"Lengsfeld","given":"Bettina","non-dropping-particle":"","parse-names":false,"suffix":""},{"dropping-particle":"","family":"Hopkins","given":"Ben B.","non-dropping-particle":"","parse-names":false,"suffix":""},{"dropping-particle":"","family":"Chan","given":"Angela","non-dropping-particle":"","parse-names":false,"suffix":""},{"dropping-particle":"","family":"Lee","given":"Ji Hoon","non-dropping-particle":"","parse-names":false,"suffix":""},{"dropping-particle":"","family":"Zhang","given":"Xiaoming","non-dropping-particle":"","parse-names":false,"suffix":""},{"dropping-particle":"","family":"Gautier","given":"Jean","non-dropping-particle":"","parse-names":false,"suffix":""},{"dropping-particle":"","family":"Zakian","given":"Virginia","non-dropping-particle":"","parse-names":false,"suffix":""},{"dropping-particle":"","family":"Paull","given":"Tanya T.","non-dropping-particle":"","parse-names":false,"suffix":""}],"container-title":"Molecular Cell","id":"ITEM-1","issue":"5","issued":{"date-parts":[["2007"]]},"page":"647-661","title":"Rad50 Adenylate Kinase Activity Regulates DNA Tethering by Mre11/Rad50 Complexes","type":"article-journal","volume":"25"},"uris":["http://www.mendeley.com/documents/?uuid=3ee69e3b-7ffc-417d-94e5-06bb77377988"]}],"mendeley":{"formattedCitation":"[17]","plainTextFormattedCitation":"[17]","previouslyFormattedCitation":"[17]"},"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[17]</w:t>
                  </w:r>
                  <w:r w:rsidRPr="0056302C">
                    <w:rPr>
                      <w:rFonts w:ascii="Times New Roman" w:hAnsi="Times New Roman" w:cs="Times New Roman"/>
                      <w:sz w:val="16"/>
                      <w:szCs w:val="16"/>
                    </w:rPr>
                    <w:fldChar w:fldCharType="end"/>
                  </w:r>
                </w:p>
              </w:tc>
            </w:tr>
            <w:tr w:rsidR="0056302C" w:rsidRPr="0056302C" w:rsidTr="0056302C">
              <w:tc>
                <w:tcPr>
                  <w:tcW w:w="830"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ATPase domain</w:t>
                  </w:r>
                </w:p>
                <w:p w:rsidR="0056302C" w:rsidRPr="0056302C" w:rsidRDefault="0056302C" w:rsidP="0056302C">
                  <w:pPr>
                    <w:rPr>
                      <w:rFonts w:ascii="Times New Roman" w:hAnsi="Times New Roman" w:cs="Times New Roman"/>
                      <w:sz w:val="16"/>
                      <w:szCs w:val="16"/>
                    </w:rPr>
                  </w:pPr>
                </w:p>
                <w:p w:rsidR="0056302C" w:rsidRPr="0056302C" w:rsidRDefault="0056302C" w:rsidP="0056302C">
                  <w:pPr>
                    <w:rPr>
                      <w:rFonts w:ascii="Times New Roman" w:hAnsi="Times New Roman" w:cs="Times New Roman"/>
                      <w:sz w:val="16"/>
                      <w:szCs w:val="16"/>
                    </w:rPr>
                  </w:pPr>
                </w:p>
              </w:tc>
              <w:tc>
                <w:tcPr>
                  <w:tcW w:w="1297"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R1093X</w:t>
                  </w:r>
                </w:p>
              </w:tc>
              <w:tc>
                <w:tcPr>
                  <w:tcW w:w="1114" w:type="dxa"/>
                </w:tcPr>
                <w:p w:rsidR="0056302C" w:rsidRPr="00945E1E" w:rsidRDefault="0056302C" w:rsidP="0056302C">
                  <w:pPr>
                    <w:rPr>
                      <w:rFonts w:ascii="Times New Roman" w:hAnsi="Times New Roman" w:cs="Times New Roman"/>
                      <w:i/>
                      <w:sz w:val="16"/>
                      <w:szCs w:val="16"/>
                    </w:rPr>
                  </w:pPr>
                  <w:r w:rsidRPr="00945E1E">
                    <w:rPr>
                      <w:rFonts w:ascii="Times New Roman" w:hAnsi="Times New Roman" w:cs="Times New Roman"/>
                      <w:i/>
                      <w:sz w:val="16"/>
                      <w:szCs w:val="16"/>
                    </w:rPr>
                    <w:t>H. sapiens</w:t>
                  </w:r>
                </w:p>
              </w:tc>
              <w:tc>
                <w:tcPr>
                  <w:tcW w:w="1303"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t>R1093X</w:t>
                  </w:r>
                </w:p>
              </w:tc>
              <w:tc>
                <w:tcPr>
                  <w:tcW w:w="488" w:type="dxa"/>
                </w:tcPr>
                <w:p w:rsidR="0056302C" w:rsidRPr="0056302C" w:rsidRDefault="0056302C" w:rsidP="0056302C">
                  <w:pPr>
                    <w:rPr>
                      <w:rFonts w:ascii="Times New Roman" w:hAnsi="Times New Roman" w:cs="Times New Roman"/>
                      <w:sz w:val="16"/>
                      <w:szCs w:val="16"/>
                    </w:rPr>
                  </w:pPr>
                  <w:r w:rsidRPr="0056302C">
                    <w:rPr>
                      <w:rFonts w:ascii="Times New Roman" w:hAnsi="Times New Roman" w:cs="Times New Roman"/>
                      <w:sz w:val="16"/>
                      <w:szCs w:val="16"/>
                    </w:rPr>
                    <w:fldChar w:fldCharType="begin" w:fldLock="1"/>
                  </w:r>
                  <w:r w:rsidRPr="0056302C">
                    <w:rPr>
                      <w:rFonts w:ascii="Times New Roman" w:hAnsi="Times New Roman" w:cs="Times New Roman"/>
                      <w:sz w:val="16"/>
                      <w:szCs w:val="16"/>
                    </w:rPr>
                    <w:instrText>ADDIN CSL_CITATION {"citationItems":[{"id":"ITEM-1","itemData":{"DOI":"10.1016/j.ajhg.2009.04.010","ISBN":"1537-6605 (Electronic)\\r0002-9297 (Linking)","ISSN":"00029297","PMID":"19409520","abstract":"The MRE11/RAD50/NBN (MRN) complex plays a key role in recognizing and signaling DNA double-strand breaks (DSBs). Hypomorphic mutations in NBN (previously known as NBS1) and MRE11A give rise to the autosomal-recessive diseases Nijmegen breakage syndrome (NBS) and ataxia-telangiectasia-like disorder (ATLD), respectively. To date, no disease due to RAD50 deficiency has been described. Here, we report on a patient previously diagnosed as probably having NBS, with microcephaly, mental retardation, 'bird-like' face, and short stature. At variance with this diagnosis, she never had severe infections, had normal immunoglobulin levels, and did not develop lymphoid malignancy up to age 23 years. We found that she is compound heterozygous for mutations in the RAD50 gene that give rise to low levels of unstable RAD50 protein. Cells from the patient were characterized by chromosomal instability; radiosensitivity; failure to form DNA damage-induced MRN foci; and impaired radiation-induced activation of and downstream signaling through the ATM protein, which is defective in the human genetic disorder ataxia-telangiectasia. These cells were also impaired in G1/S cell-cycle-checkpoint activation and displayed radioresistant DNA synthesis and G2-phase accumulation. The defective cellular phenotype was rescued by wild-type RAD50. In conclusion, we have identified and characterized a patient with a RAD50 deficiency that results in a clinical phenotype that can be classified as an NBS-like disorder (NBSLD). ?? 2009 The American Society of Human Genetics.","author":[{"dropping-particle":"","family":"Waltes","given":"Regina","non-dropping-particle":"","parse-names":false,"suffix":""},{"dropping-particle":"","family":"Kalb","given":"Reinhard","non-dropping-particle":"","parse-names":false,"suffix":""},{"dropping-particle":"","family":"Gatei","given":"Magtouf","non-dropping-particle":"","parse-names":false,"suffix":""},{"dropping-particle":"","family":"Kijas","given":"Amanda W.","non-dropping-particle":"","parse-names":false,"suffix":""},{"dropping-particle":"","family":"Stumm","given":"Markus","non-dropping-particle":"","parse-names":false,"suffix":""},{"dropping-particle":"","family":"Sobeck","given":"Alexandra","non-dropping-particle":"","parse-names":false,"suffix":""},{"dropping-particle":"","family":"Wieland","given":"Britta","non-dropping-particle":"","parse-names":false,"suffix":""},{"dropping-particle":"","family":"Varon","given":"Raymonda","non-dropping-particle":"","parse-names":false,"suffix":""},{"dropping-particle":"","family":"Lerenthal","given":"Yaniv","non-dropping-particle":"","parse-names":false,"suffix":""},{"dropping-particle":"","family":"Lavin","given":"Martin F.","non-dropping-particle":"","parse-names":false,"suffix":""},{"dropping-particle":"","family":"Schindler","given":"Detlev","non-dropping-particle":"","parse-names":false,"suffix":""},{"dropping-particle":"","family":"D??rk","given":"Thilo","non-dropping-particle":"","parse-names":false,"suffix":""}],"container-title":"American Journal of Human Genetics","id":"ITEM-1","issue":"5","issued":{"date-parts":[["2009"]]},"page":"605-616","title":"Human RAD50 Deficiency in a Nijmegen Breakage Syndrome-like Disorder","type":"article-journal","volume":"84"},"uris":["http://www.mendeley.com/documents/?uuid=22cf43b1-5ee1-4933-acd7-2c2580f4ba9d"]}],"mendeley":{"formattedCitation":"[18]","plainTextFormattedCitation":"[18]","previouslyFormattedCitation":"[18]"},"properties":{"noteIndex":0},"schema":"https://github.com/citation-style-language/schema/raw/master/csl-citation.json"}</w:instrText>
                  </w:r>
                  <w:r w:rsidRPr="0056302C">
                    <w:rPr>
                      <w:rFonts w:ascii="Times New Roman" w:hAnsi="Times New Roman" w:cs="Times New Roman"/>
                      <w:sz w:val="16"/>
                      <w:szCs w:val="16"/>
                    </w:rPr>
                    <w:fldChar w:fldCharType="separate"/>
                  </w:r>
                  <w:r w:rsidRPr="0056302C">
                    <w:rPr>
                      <w:rFonts w:ascii="Times New Roman" w:hAnsi="Times New Roman" w:cs="Times New Roman"/>
                      <w:noProof/>
                      <w:sz w:val="16"/>
                      <w:szCs w:val="16"/>
                    </w:rPr>
                    <w:t>[18]</w:t>
                  </w:r>
                  <w:r w:rsidRPr="0056302C">
                    <w:rPr>
                      <w:rFonts w:ascii="Times New Roman" w:hAnsi="Times New Roman" w:cs="Times New Roman"/>
                      <w:sz w:val="16"/>
                      <w:szCs w:val="16"/>
                    </w:rPr>
                    <w:fldChar w:fldCharType="end"/>
                  </w:r>
                </w:p>
              </w:tc>
            </w:tr>
          </w:tbl>
          <w:p w:rsidR="0056302C" w:rsidRPr="0056302C" w:rsidRDefault="0056302C">
            <w:pPr>
              <w:rPr>
                <w:rFonts w:ascii="Times New Roman" w:hAnsi="Times New Roman" w:cs="Times New Roman"/>
                <w:b/>
                <w:sz w:val="16"/>
                <w:szCs w:val="16"/>
                <w:u w:val="single"/>
              </w:rPr>
            </w:pPr>
          </w:p>
        </w:tc>
      </w:tr>
    </w:tbl>
    <w:p w:rsidR="0056302C" w:rsidRPr="00247759" w:rsidRDefault="0056302C">
      <w:pPr>
        <w:rPr>
          <w:rFonts w:ascii="Times New Roman" w:hAnsi="Times New Roman" w:cs="Times New Roman"/>
          <w:b/>
          <w:u w:val="single"/>
        </w:rPr>
      </w:pPr>
    </w:p>
    <w:p w:rsidR="00247759" w:rsidRDefault="00247759">
      <w:pPr>
        <w:rPr>
          <w:rFonts w:ascii="Times New Roman" w:hAnsi="Times New Roman" w:cs="Times New Roman"/>
        </w:rPr>
        <w:sectPr w:rsidR="00247759" w:rsidSect="0056302C">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EE1010" w:rsidTr="00EE1010">
        <w:tc>
          <w:tcPr>
            <w:tcW w:w="9016" w:type="dxa"/>
          </w:tcPr>
          <w:p w:rsidR="00EE1010" w:rsidRPr="00F1708A" w:rsidRDefault="00EE1010" w:rsidP="00EE1010">
            <w:pPr>
              <w:rPr>
                <w:rFonts w:ascii="Times New Roman" w:hAnsi="Times New Roman" w:cs="Times New Roman"/>
                <w:sz w:val="18"/>
                <w:szCs w:val="18"/>
              </w:rPr>
            </w:pPr>
            <w:r w:rsidRPr="00F1708A">
              <w:rPr>
                <w:rFonts w:ascii="Times New Roman" w:hAnsi="Times New Roman" w:cs="Times New Roman"/>
                <w:sz w:val="18"/>
                <w:szCs w:val="18"/>
              </w:rPr>
              <w:lastRenderedPageBreak/>
              <w:t>References</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1708A">
              <w:rPr>
                <w:rFonts w:ascii="Times New Roman" w:hAnsi="Times New Roman" w:cs="Times New Roman"/>
                <w:sz w:val="18"/>
                <w:szCs w:val="18"/>
              </w:rPr>
              <w:fldChar w:fldCharType="begin" w:fldLock="1"/>
            </w:r>
            <w:r w:rsidRPr="00F1708A">
              <w:rPr>
                <w:rFonts w:ascii="Times New Roman" w:hAnsi="Times New Roman" w:cs="Times New Roman"/>
                <w:sz w:val="18"/>
                <w:szCs w:val="18"/>
              </w:rPr>
              <w:instrText xml:space="preserve">ADDIN Mendeley Bibliography CSL_BIBLIOGRAPHY </w:instrText>
            </w:r>
            <w:r w:rsidRPr="00F1708A">
              <w:rPr>
                <w:rFonts w:ascii="Times New Roman" w:hAnsi="Times New Roman" w:cs="Times New Roman"/>
                <w:sz w:val="18"/>
                <w:szCs w:val="18"/>
              </w:rPr>
              <w:fldChar w:fldCharType="separate"/>
            </w:r>
            <w:r w:rsidRPr="00FF77B9">
              <w:rPr>
                <w:rFonts w:ascii="Times New Roman" w:hAnsi="Times New Roman" w:cs="Times New Roman"/>
                <w:noProof/>
                <w:sz w:val="18"/>
                <w:szCs w:val="24"/>
              </w:rPr>
              <w:t xml:space="preserve">1. </w:t>
            </w:r>
            <w:r w:rsidRPr="00FF77B9">
              <w:rPr>
                <w:rFonts w:ascii="Times New Roman" w:hAnsi="Times New Roman" w:cs="Times New Roman"/>
                <w:noProof/>
                <w:sz w:val="18"/>
                <w:szCs w:val="24"/>
              </w:rPr>
              <w:tab/>
              <w:t>Chen L, Trujillo KM, Van Komen S, Roh DH, Krejci L, Lewis LK, et al. Effect of amino acid substitutions in the rad50 ATP binding domain on DNA double strand break repair in yeast. J Biol Chem. 2005;280: 2620–2627. doi:10.1074/jbc.M410192200</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2. </w:t>
            </w:r>
            <w:r w:rsidRPr="00FF77B9">
              <w:rPr>
                <w:rFonts w:ascii="Times New Roman" w:hAnsi="Times New Roman" w:cs="Times New Roman"/>
                <w:noProof/>
                <w:sz w:val="18"/>
                <w:szCs w:val="24"/>
              </w:rPr>
              <w:tab/>
              <w:t>De La Rosa Metzere Bierlein, and Scott W. Nelson. An Interaction between the Walker A and D-loop Motifs Is Critical to ATP Hydrolysis and Cooperativity in Bacteriophage. J Biol Chem. 2011;286: 26258–26266. doi:10.1074/jbc.M111.256305</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3. </w:t>
            </w:r>
            <w:r w:rsidRPr="00FF77B9">
              <w:rPr>
                <w:rFonts w:ascii="Times New Roman" w:hAnsi="Times New Roman" w:cs="Times New Roman"/>
                <w:noProof/>
                <w:sz w:val="18"/>
                <w:szCs w:val="24"/>
              </w:rPr>
              <w:tab/>
              <w:t>Alani E, Padmore R, Kleckner N. Analysis of wild-type and rad50 mutants of yeast suggests an intimate relationship between meiotic chromosome synapsis and recombination. Cell. 1990;61: 419–436. doi:10.1016/0092-8674(90)90524-I</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4. </w:t>
            </w:r>
            <w:r w:rsidRPr="00FF77B9">
              <w:rPr>
                <w:rFonts w:ascii="Times New Roman" w:hAnsi="Times New Roman" w:cs="Times New Roman"/>
                <w:noProof/>
                <w:sz w:val="18"/>
                <w:szCs w:val="24"/>
              </w:rPr>
              <w:tab/>
              <w:t>Bender CF, Sikes ML, Sullivan R, Huye LE, Le Beau MM, Roth DB, et al. Cancer predisposition and hematopoietic failure in Rad50S/S mice. Genes Dev. 2002;16: 2237–2251. doi:10.1101/gad.1007902</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5. </w:t>
            </w:r>
            <w:r w:rsidRPr="00FF77B9">
              <w:rPr>
                <w:rFonts w:ascii="Times New Roman" w:hAnsi="Times New Roman" w:cs="Times New Roman"/>
                <w:noProof/>
                <w:sz w:val="18"/>
                <w:szCs w:val="24"/>
              </w:rPr>
              <w:tab/>
              <w:t>Koroleva O, Makharashvili N, Courcelle CT, Courcelle J, Korolev S. Structural conservation of RecF and Rad50: implications for DNA recognition and RecF function. EMBO J. 2007;26: 867–77. doi:10.1038/sj.emboj.7601537</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6. </w:t>
            </w:r>
            <w:r w:rsidRPr="00FF77B9">
              <w:rPr>
                <w:rFonts w:ascii="Times New Roman" w:hAnsi="Times New Roman" w:cs="Times New Roman"/>
                <w:noProof/>
                <w:sz w:val="18"/>
                <w:szCs w:val="24"/>
              </w:rPr>
              <w:tab/>
              <w:t>Rojowska A, Lammens K, Seifert FU, Direnberger C, Feldmann H. Structure of the Rad 50 DNA double-strand break repair protein in complex with DNA. EMBO J. 2014;33: 2847–2859. doi:10.15252/embj.201488889</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7. </w:t>
            </w:r>
            <w:r w:rsidRPr="00FF77B9">
              <w:rPr>
                <w:rFonts w:ascii="Times New Roman" w:hAnsi="Times New Roman" w:cs="Times New Roman"/>
                <w:noProof/>
                <w:sz w:val="18"/>
                <w:szCs w:val="24"/>
              </w:rPr>
              <w:tab/>
              <w:t>Roset R, Inagaki A, Hohl M, Brenet F, Lafrance-Vanasse J, Lange J, et al. The Rad50 hook domain regulates DNA damage signaling and tumorigenesis. Genes Dev. 2014;28: 451–462. doi:10.1101/gad.236745.113</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8. </w:t>
            </w:r>
            <w:r w:rsidRPr="00FF77B9">
              <w:rPr>
                <w:rFonts w:ascii="Times New Roman" w:hAnsi="Times New Roman" w:cs="Times New Roman"/>
                <w:noProof/>
                <w:sz w:val="18"/>
                <w:szCs w:val="24"/>
              </w:rPr>
              <w:tab/>
              <w:t>Cahill D, Carney JP. Dimerization of the Rad50 protein is independent of the conserved hook domain. Mutagenesis. 2007;22: 269–274. doi:10.1093/mutage/gem011</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9. </w:t>
            </w:r>
            <w:r w:rsidRPr="00FF77B9">
              <w:rPr>
                <w:rFonts w:ascii="Times New Roman" w:hAnsi="Times New Roman" w:cs="Times New Roman"/>
                <w:noProof/>
                <w:sz w:val="18"/>
                <w:szCs w:val="24"/>
              </w:rPr>
              <w:tab/>
              <w:t>He J, Shi LZ, Truong LN, Lu CS, Razavian N, Li Y, et al. Rad50 zinc hook is important for the Mre11 complex to bind chromosomal DNA double-stranded breaks and initiate various DNA damage responses. J Biol Chem. 2012;287: 31747–31756. doi:10.1074/jbc.M112.384750</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10. </w:t>
            </w:r>
            <w:r w:rsidRPr="00FF77B9">
              <w:rPr>
                <w:rFonts w:ascii="Times New Roman" w:hAnsi="Times New Roman" w:cs="Times New Roman"/>
                <w:noProof/>
                <w:sz w:val="18"/>
                <w:szCs w:val="24"/>
              </w:rPr>
              <w:tab/>
              <w:t>Barfoot T, Herdendorf TJ, Behning BR, Stohr BA, Gao Y, Kreuzer KN, et al. Functional analysis of the bacteriophage T4 Rad50 Homolog (gp46) Coiled-coil Domain. J Biol Chem. 2015;290: 23905–23915. doi:10.1074/jbc.M115.675132</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11. </w:t>
            </w:r>
            <w:r w:rsidRPr="00FF77B9">
              <w:rPr>
                <w:rFonts w:ascii="Times New Roman" w:hAnsi="Times New Roman" w:cs="Times New Roman"/>
                <w:noProof/>
                <w:sz w:val="18"/>
                <w:szCs w:val="24"/>
              </w:rPr>
              <w:tab/>
              <w:t>Hohl M, Kocha??czyk T, Tous C, Aguilera A, KrEzel A, Petrini JHJ. Interdependence of the Rad50 Hook and Globular domain functions. Mol Cell. 2015;57: 479–492. doi:10.1016/j.molcel.2014.12.018</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12. </w:t>
            </w:r>
            <w:r w:rsidRPr="00FF77B9">
              <w:rPr>
                <w:rFonts w:ascii="Times New Roman" w:hAnsi="Times New Roman" w:cs="Times New Roman"/>
                <w:noProof/>
                <w:sz w:val="18"/>
                <w:szCs w:val="24"/>
              </w:rPr>
              <w:tab/>
              <w:t>Gatei M, Jakob B, Chen P, Kijas AW, Becherel OJ, Gueven N, et al. ATM protein-dependent phosphorylation of Rad50 protein Regulates DNA repair and cell cycle control. J Biol Chem. 2011;286: 31542–31556. doi:10.1074/jbc.M111.258152</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13. </w:t>
            </w:r>
            <w:r w:rsidRPr="00FF77B9">
              <w:rPr>
                <w:rFonts w:ascii="Times New Roman" w:hAnsi="Times New Roman" w:cs="Times New Roman"/>
                <w:noProof/>
                <w:sz w:val="18"/>
                <w:szCs w:val="24"/>
              </w:rPr>
              <w:tab/>
              <w:t>Deshpande RA, Williams GJ, Limbo O, Williams RS, Kuhnlein J, Lee JH, et al. ATP-driven Rad50 conformations regulate DNA tethering, end resection, and ATM checkpoint signaling. EMBO J. 2014;33: 482–500. doi:10.1002/embj.201386100</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14. </w:t>
            </w:r>
            <w:r w:rsidRPr="00FF77B9">
              <w:rPr>
                <w:rFonts w:ascii="Times New Roman" w:hAnsi="Times New Roman" w:cs="Times New Roman"/>
                <w:noProof/>
                <w:sz w:val="18"/>
                <w:szCs w:val="24"/>
              </w:rPr>
              <w:tab/>
              <w:t>Williams GJ, Williams RS, Williams JS, Moncalian G, Arvai AS, Limbo O, et al. ABC ATPase signature helices in Rad50 link nucleotide state to Mre11 interface for DNA repair. Nat Struct Mol Biol. 2011;18: 423–431. doi:10.1038/nsmb0911-1084c</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15. </w:t>
            </w:r>
            <w:r w:rsidRPr="00FF77B9">
              <w:rPr>
                <w:rFonts w:ascii="Times New Roman" w:hAnsi="Times New Roman" w:cs="Times New Roman"/>
                <w:noProof/>
                <w:sz w:val="18"/>
                <w:szCs w:val="24"/>
              </w:rPr>
              <w:tab/>
              <w:t>Moncalian G, Lengsfeld B, Bhaskara V, Hopfner KP, Karcher A, Alden E, et al. The Rad50 Signature Motif: Essential to ATP Binding and Biological Function. J Mol Biol. 2004;335: 937–951. doi:10.1016/j.jmb.2003.11.026</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16. </w:t>
            </w:r>
            <w:r w:rsidRPr="00FF77B9">
              <w:rPr>
                <w:rFonts w:ascii="Times New Roman" w:hAnsi="Times New Roman" w:cs="Times New Roman"/>
                <w:noProof/>
                <w:sz w:val="18"/>
                <w:szCs w:val="24"/>
              </w:rPr>
              <w:tab/>
              <w:t>Herdendorf TJ, Nelson SW. Functional evaluation of bacteriophage T4 Rad50 signature motif residues. Biochemistry. 2011;50: 6030–6040. doi:10.1021/bi200184w</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szCs w:val="24"/>
              </w:rPr>
            </w:pPr>
            <w:r w:rsidRPr="00FF77B9">
              <w:rPr>
                <w:rFonts w:ascii="Times New Roman" w:hAnsi="Times New Roman" w:cs="Times New Roman"/>
                <w:noProof/>
                <w:sz w:val="18"/>
                <w:szCs w:val="24"/>
              </w:rPr>
              <w:t xml:space="preserve">17. </w:t>
            </w:r>
            <w:r w:rsidRPr="00FF77B9">
              <w:rPr>
                <w:rFonts w:ascii="Times New Roman" w:hAnsi="Times New Roman" w:cs="Times New Roman"/>
                <w:noProof/>
                <w:sz w:val="18"/>
                <w:szCs w:val="24"/>
              </w:rPr>
              <w:tab/>
              <w:t>Bhaskara V, Dupr A, Lengsfeld B, Hopkins BB, Chan A, Lee JH, et al. Rad50 Adenylate Kinase Activity Regulates DNA Tethering by Mre11/Rad50 Complexes. Mol Cell. 2007;25: 647–661. doi:10.1016/j.molcel.2007.01.028</w:t>
            </w:r>
          </w:p>
          <w:p w:rsidR="00EE1010" w:rsidRPr="00FF77B9" w:rsidRDefault="00EE1010" w:rsidP="00EE1010">
            <w:pPr>
              <w:widowControl w:val="0"/>
              <w:autoSpaceDE w:val="0"/>
              <w:autoSpaceDN w:val="0"/>
              <w:adjustRightInd w:val="0"/>
              <w:ind w:left="640" w:hanging="640"/>
              <w:rPr>
                <w:rFonts w:ascii="Times New Roman" w:hAnsi="Times New Roman" w:cs="Times New Roman"/>
                <w:noProof/>
                <w:sz w:val="18"/>
              </w:rPr>
            </w:pPr>
            <w:r w:rsidRPr="00FF77B9">
              <w:rPr>
                <w:rFonts w:ascii="Times New Roman" w:hAnsi="Times New Roman" w:cs="Times New Roman"/>
                <w:noProof/>
                <w:sz w:val="18"/>
                <w:szCs w:val="24"/>
              </w:rPr>
              <w:t xml:space="preserve">18. </w:t>
            </w:r>
            <w:r w:rsidRPr="00FF77B9">
              <w:rPr>
                <w:rFonts w:ascii="Times New Roman" w:hAnsi="Times New Roman" w:cs="Times New Roman"/>
                <w:noProof/>
                <w:sz w:val="18"/>
                <w:szCs w:val="24"/>
              </w:rPr>
              <w:tab/>
              <w:t>Waltes R, Kalb R, Gatei M, Kijas AW, Stumm M, Sobeck A, et al. Human RAD50 Deficiency in a Nijmegen Breakage Syndrome-like Disorder. Am J Hum Genet. 2009;84: 605–616. doi:10.1016/j.ajhg.2009.04.010</w:t>
            </w:r>
          </w:p>
          <w:p w:rsidR="00EE1010" w:rsidRDefault="00EE1010" w:rsidP="00EE1010">
            <w:pPr>
              <w:rPr>
                <w:rFonts w:ascii="Times New Roman" w:hAnsi="Times New Roman" w:cs="Times New Roman"/>
                <w:sz w:val="18"/>
                <w:szCs w:val="18"/>
              </w:rPr>
            </w:pPr>
            <w:r w:rsidRPr="00F1708A">
              <w:rPr>
                <w:rFonts w:ascii="Times New Roman" w:hAnsi="Times New Roman" w:cs="Times New Roman"/>
                <w:sz w:val="18"/>
                <w:szCs w:val="18"/>
              </w:rPr>
              <w:fldChar w:fldCharType="end"/>
            </w:r>
          </w:p>
        </w:tc>
      </w:tr>
    </w:tbl>
    <w:p w:rsidR="00247759" w:rsidRPr="00D677D2" w:rsidRDefault="00247759">
      <w:pPr>
        <w:rPr>
          <w:rFonts w:ascii="Times New Roman" w:hAnsi="Times New Roman" w:cs="Times New Roman"/>
        </w:rPr>
      </w:pPr>
    </w:p>
    <w:sectPr w:rsidR="00247759" w:rsidRPr="00D677D2" w:rsidSect="00247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80B"/>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A8D07B5"/>
    <w:multiLevelType w:val="hybridMultilevel"/>
    <w:tmpl w:val="B0C8934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F0154FC"/>
    <w:multiLevelType w:val="hybridMultilevel"/>
    <w:tmpl w:val="02A83A6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38D2A97"/>
    <w:multiLevelType w:val="hybridMultilevel"/>
    <w:tmpl w:val="4C82649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1EF00ED8"/>
    <w:multiLevelType w:val="hybridMultilevel"/>
    <w:tmpl w:val="070EF96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2409309F"/>
    <w:multiLevelType w:val="hybridMultilevel"/>
    <w:tmpl w:val="0524B20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DE5794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11C316B"/>
    <w:multiLevelType w:val="hybridMultilevel"/>
    <w:tmpl w:val="407899E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53A2C1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35DC7C7B"/>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760248C"/>
    <w:multiLevelType w:val="hybridMultilevel"/>
    <w:tmpl w:val="79FA106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B73751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00F4109"/>
    <w:multiLevelType w:val="hybridMultilevel"/>
    <w:tmpl w:val="7418163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A990DB7"/>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4DB56264"/>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77E3CAC"/>
    <w:multiLevelType w:val="hybridMultilevel"/>
    <w:tmpl w:val="E9BC79E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82A1EFD"/>
    <w:multiLevelType w:val="hybridMultilevel"/>
    <w:tmpl w:val="F83CC050"/>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60031EAA"/>
    <w:multiLevelType w:val="hybridMultilevel"/>
    <w:tmpl w:val="1C1CAF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676D1F7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6A5E6194"/>
    <w:multiLevelType w:val="hybridMultilevel"/>
    <w:tmpl w:val="8118E3A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71465928"/>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74C32535"/>
    <w:multiLevelType w:val="hybridMultilevel"/>
    <w:tmpl w:val="DD686A0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C3E3074"/>
    <w:multiLevelType w:val="hybridMultilevel"/>
    <w:tmpl w:val="404E712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7D1614F3"/>
    <w:multiLevelType w:val="hybridMultilevel"/>
    <w:tmpl w:val="717E85D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7E6379DE"/>
    <w:multiLevelType w:val="hybridMultilevel"/>
    <w:tmpl w:val="99001D9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1"/>
  </w:num>
  <w:num w:numId="2">
    <w:abstractNumId w:val="16"/>
  </w:num>
  <w:num w:numId="3">
    <w:abstractNumId w:val="24"/>
  </w:num>
  <w:num w:numId="4">
    <w:abstractNumId w:val="3"/>
  </w:num>
  <w:num w:numId="5">
    <w:abstractNumId w:val="5"/>
  </w:num>
  <w:num w:numId="6">
    <w:abstractNumId w:val="17"/>
  </w:num>
  <w:num w:numId="7">
    <w:abstractNumId w:val="11"/>
  </w:num>
  <w:num w:numId="8">
    <w:abstractNumId w:val="14"/>
  </w:num>
  <w:num w:numId="9">
    <w:abstractNumId w:val="9"/>
  </w:num>
  <w:num w:numId="10">
    <w:abstractNumId w:val="13"/>
  </w:num>
  <w:num w:numId="11">
    <w:abstractNumId w:val="10"/>
  </w:num>
  <w:num w:numId="12">
    <w:abstractNumId w:val="18"/>
  </w:num>
  <w:num w:numId="13">
    <w:abstractNumId w:val="23"/>
  </w:num>
  <w:num w:numId="14">
    <w:abstractNumId w:val="19"/>
  </w:num>
  <w:num w:numId="15">
    <w:abstractNumId w:val="4"/>
  </w:num>
  <w:num w:numId="16">
    <w:abstractNumId w:val="22"/>
  </w:num>
  <w:num w:numId="17">
    <w:abstractNumId w:val="2"/>
  </w:num>
  <w:num w:numId="18">
    <w:abstractNumId w:val="12"/>
  </w:num>
  <w:num w:numId="19">
    <w:abstractNumId w:val="8"/>
  </w:num>
  <w:num w:numId="20">
    <w:abstractNumId w:val="20"/>
  </w:num>
  <w:num w:numId="21">
    <w:abstractNumId w:val="0"/>
  </w:num>
  <w:num w:numId="22">
    <w:abstractNumId w:val="15"/>
  </w:num>
  <w:num w:numId="23">
    <w:abstractNumId w:val="6"/>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D2"/>
    <w:rsid w:val="000035F6"/>
    <w:rsid w:val="00035E43"/>
    <w:rsid w:val="0006673D"/>
    <w:rsid w:val="000679EF"/>
    <w:rsid w:val="00070B2B"/>
    <w:rsid w:val="00085111"/>
    <w:rsid w:val="00087734"/>
    <w:rsid w:val="00113990"/>
    <w:rsid w:val="00142621"/>
    <w:rsid w:val="00160634"/>
    <w:rsid w:val="00206DB6"/>
    <w:rsid w:val="0024163F"/>
    <w:rsid w:val="00247759"/>
    <w:rsid w:val="002571C4"/>
    <w:rsid w:val="002A0027"/>
    <w:rsid w:val="00331784"/>
    <w:rsid w:val="003848DB"/>
    <w:rsid w:val="003B75E1"/>
    <w:rsid w:val="003F7083"/>
    <w:rsid w:val="0046775F"/>
    <w:rsid w:val="004A1BF8"/>
    <w:rsid w:val="004B5B74"/>
    <w:rsid w:val="004C0D0C"/>
    <w:rsid w:val="004F4977"/>
    <w:rsid w:val="00502070"/>
    <w:rsid w:val="005108F5"/>
    <w:rsid w:val="00511451"/>
    <w:rsid w:val="00525B44"/>
    <w:rsid w:val="00534F62"/>
    <w:rsid w:val="00541893"/>
    <w:rsid w:val="00554A35"/>
    <w:rsid w:val="0056302C"/>
    <w:rsid w:val="00564FA8"/>
    <w:rsid w:val="00585447"/>
    <w:rsid w:val="005A16A1"/>
    <w:rsid w:val="005E4A07"/>
    <w:rsid w:val="006459B0"/>
    <w:rsid w:val="006A06F7"/>
    <w:rsid w:val="006A6F8F"/>
    <w:rsid w:val="006B5042"/>
    <w:rsid w:val="00730912"/>
    <w:rsid w:val="007410C0"/>
    <w:rsid w:val="00760B13"/>
    <w:rsid w:val="00765197"/>
    <w:rsid w:val="007710D6"/>
    <w:rsid w:val="00781CAB"/>
    <w:rsid w:val="007A3CD7"/>
    <w:rsid w:val="00806DA0"/>
    <w:rsid w:val="00823224"/>
    <w:rsid w:val="00855DE0"/>
    <w:rsid w:val="00870236"/>
    <w:rsid w:val="008F7530"/>
    <w:rsid w:val="00915C8D"/>
    <w:rsid w:val="009332DD"/>
    <w:rsid w:val="0093650E"/>
    <w:rsid w:val="00945E1E"/>
    <w:rsid w:val="00946DA0"/>
    <w:rsid w:val="00955234"/>
    <w:rsid w:val="00975DA2"/>
    <w:rsid w:val="0098773D"/>
    <w:rsid w:val="00A077E6"/>
    <w:rsid w:val="00A4135B"/>
    <w:rsid w:val="00A45EE4"/>
    <w:rsid w:val="00A9339D"/>
    <w:rsid w:val="00AC5271"/>
    <w:rsid w:val="00AD5414"/>
    <w:rsid w:val="00AF29A3"/>
    <w:rsid w:val="00B2633F"/>
    <w:rsid w:val="00BC2943"/>
    <w:rsid w:val="00BC6FF7"/>
    <w:rsid w:val="00BD0E08"/>
    <w:rsid w:val="00C10216"/>
    <w:rsid w:val="00C40A46"/>
    <w:rsid w:val="00C70AE7"/>
    <w:rsid w:val="00C72A52"/>
    <w:rsid w:val="00C74D93"/>
    <w:rsid w:val="00C943D8"/>
    <w:rsid w:val="00CB60BE"/>
    <w:rsid w:val="00CF6B8E"/>
    <w:rsid w:val="00D26D1B"/>
    <w:rsid w:val="00D677D2"/>
    <w:rsid w:val="00D95EC0"/>
    <w:rsid w:val="00D96A37"/>
    <w:rsid w:val="00DA69AA"/>
    <w:rsid w:val="00DE7257"/>
    <w:rsid w:val="00E14E7F"/>
    <w:rsid w:val="00E57488"/>
    <w:rsid w:val="00EA1EE2"/>
    <w:rsid w:val="00EC6877"/>
    <w:rsid w:val="00EE1010"/>
    <w:rsid w:val="00EE2295"/>
    <w:rsid w:val="00EF666A"/>
    <w:rsid w:val="00F05B5D"/>
    <w:rsid w:val="00F1708A"/>
    <w:rsid w:val="00F73203"/>
    <w:rsid w:val="00FA0088"/>
    <w:rsid w:val="00FB1209"/>
    <w:rsid w:val="00FB7FB8"/>
    <w:rsid w:val="00FF77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1AD14-EA60-4CA8-9EEA-9B0BDAC6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7D2"/>
    <w:pPr>
      <w:ind w:left="720"/>
      <w:contextualSpacing/>
    </w:pPr>
  </w:style>
  <w:style w:type="numbering" w:customStyle="1" w:styleId="NoList1">
    <w:name w:val="No List1"/>
    <w:next w:val="NoList"/>
    <w:uiPriority w:val="99"/>
    <w:semiHidden/>
    <w:unhideWhenUsed/>
    <w:rsid w:val="00247759"/>
  </w:style>
  <w:style w:type="table" w:customStyle="1" w:styleId="TableGrid1">
    <w:name w:val="Table Grid1"/>
    <w:basedOn w:val="TableNormal"/>
    <w:next w:val="TableGrid"/>
    <w:uiPriority w:val="39"/>
    <w:rsid w:val="0024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39568">
      <w:bodyDiv w:val="1"/>
      <w:marLeft w:val="0"/>
      <w:marRight w:val="0"/>
      <w:marTop w:val="0"/>
      <w:marBottom w:val="0"/>
      <w:divBdr>
        <w:top w:val="none" w:sz="0" w:space="0" w:color="auto"/>
        <w:left w:val="none" w:sz="0" w:space="0" w:color="auto"/>
        <w:bottom w:val="none" w:sz="0" w:space="0" w:color="auto"/>
        <w:right w:val="none" w:sz="0" w:space="0" w:color="auto"/>
      </w:divBdr>
    </w:div>
    <w:div w:id="20952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298B-3803-4165-9E98-E08307A5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9112</Words>
  <Characters>51940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Juwairiah Remali</dc:creator>
  <cp:keywords/>
  <dc:description/>
  <cp:lastModifiedBy>shazrul fazry</cp:lastModifiedBy>
  <cp:revision>7</cp:revision>
  <dcterms:created xsi:type="dcterms:W3CDTF">2018-07-27T03:34:00Z</dcterms:created>
  <dcterms:modified xsi:type="dcterms:W3CDTF">2019-09-06T12:47:00Z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http://csl.mendeley.com/styles/4831561/GayaUKM-FST-FSAAB-V1</vt:lpwstr>
  </property>
  <property fmtid="{D5CDD505-2E9C-101B-9397-08002B2CF9AE}" pid="11" name="Mendeley Recent Style Name 4_1">
    <vt:lpwstr>GayaUKM2017-FS-AAB - Fareed Sairi</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9fd6a146-c7e8-3a96-99f9-3e5cbc8a8754</vt:lpwstr>
  </property>
  <property fmtid="{D5CDD505-2E9C-101B-9397-08002B2CF9AE}" pid="24" name="Mendeley Citation Style_1">
    <vt:lpwstr>http://www.zotero.org/styles/plos-one</vt:lpwstr>
  </property>
</Properties>
</file>