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CD9B" w14:textId="180FA203" w:rsidR="005E4A07" w:rsidRPr="00B415EF" w:rsidRDefault="005E4A07">
      <w:pPr>
        <w:rPr>
          <w:rFonts w:ascii="Times New Roman" w:hAnsi="Times New Roman" w:cs="Times New Roman"/>
          <w:b/>
          <w:u w:val="single"/>
        </w:rPr>
      </w:pPr>
      <w:bookmarkStart w:id="0" w:name="_GoBack"/>
      <w:bookmarkEnd w:id="0"/>
    </w:p>
    <w:tbl>
      <w:tblPr>
        <w:tblStyle w:val="TableGrid"/>
        <w:tblW w:w="14312" w:type="dxa"/>
        <w:tblLook w:val="04A0" w:firstRow="1" w:lastRow="0" w:firstColumn="1" w:lastColumn="0" w:noHBand="0" w:noVBand="1"/>
      </w:tblPr>
      <w:tblGrid>
        <w:gridCol w:w="1336"/>
        <w:gridCol w:w="1494"/>
        <w:gridCol w:w="1634"/>
        <w:gridCol w:w="8350"/>
        <w:gridCol w:w="1498"/>
      </w:tblGrid>
      <w:tr w:rsidR="0059084B" w:rsidRPr="00B415EF" w14:paraId="078293B7" w14:textId="77777777" w:rsidTr="0059084B">
        <w:tc>
          <w:tcPr>
            <w:tcW w:w="1336" w:type="dxa"/>
          </w:tcPr>
          <w:p w14:paraId="4E028FF8" w14:textId="0A8269B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Organism &amp;</w:t>
            </w:r>
          </w:p>
          <w:p w14:paraId="1D2D7F1D" w14:textId="5C01D984"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References</w:t>
            </w:r>
          </w:p>
        </w:tc>
        <w:tc>
          <w:tcPr>
            <w:tcW w:w="1494" w:type="dxa"/>
          </w:tcPr>
          <w:p w14:paraId="467214D7" w14:textId="618EE92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Motif</w:t>
            </w:r>
          </w:p>
        </w:tc>
        <w:tc>
          <w:tcPr>
            <w:tcW w:w="1634" w:type="dxa"/>
          </w:tcPr>
          <w:p w14:paraId="4E2F6F40" w14:textId="07F309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Mutations</w:t>
            </w:r>
          </w:p>
        </w:tc>
        <w:tc>
          <w:tcPr>
            <w:tcW w:w="8350" w:type="dxa"/>
          </w:tcPr>
          <w:p w14:paraId="54BD661B" w14:textId="6CFEAA6B"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Effects</w:t>
            </w:r>
          </w:p>
        </w:tc>
        <w:tc>
          <w:tcPr>
            <w:tcW w:w="1498" w:type="dxa"/>
          </w:tcPr>
          <w:p w14:paraId="75722AF6" w14:textId="6BCC947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Equivalent mutation in human residue</w:t>
            </w:r>
          </w:p>
        </w:tc>
      </w:tr>
      <w:tr w:rsidR="0059084B" w:rsidRPr="00B415EF" w14:paraId="04E8FF23" w14:textId="77777777" w:rsidTr="0059084B">
        <w:tc>
          <w:tcPr>
            <w:tcW w:w="1336" w:type="dxa"/>
          </w:tcPr>
          <w:p w14:paraId="33F7643B" w14:textId="216D9C8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Saccharomyces cerevisiae</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{"citationItems":[{"id":"ITEM-1","itemData":{"DOI":"10.1074/jbc.M410192200","ISBN":"0021-9258 (Print)\\r0021-9258 (Linking)","PMID":"15546877","abstract":"The Saccharomyces cerevisiae Rad50-Mre11-Xrs2 complex plays a central role in the cellular response to DNA double strand breaks. Rad50 has a globular ATPase head domain with a long coiled-coil tail. DNA binding by Rad50 is ATP-dependent and the Rad50-Mre11-Xrs2 complex possesses DNA unwinding and endonuclease activities that are regulated by ATP. Here we have examined the role of the Rad50 Walker type A ATP binding motif in DNA double strand break repair by a combination of genetic and biochemical approaches. Replacement of the conserved lysine residue within the Walker A motif with alanine, glutamate, or arginine results in the same DNA damage sensitivity and homologous recombination defect as the rad50 deletion mutation. The Walker A mutations also cause a deficiency in non-homologous end-joining. As expected, complexes containing the rad50 Walker A mutant proteins are defective in ATPase, ATP-dependent DNA unwinding, and ATP-stimulated endonuclease activities. Although the DNA end-bridging activity of the Rad50-Mre11-Xrs2 complex is ATP-independent, the end-bridging activity of complexes containing the rad50 Walker A mutant proteins is salt-sensitive. These results provide a molecular explanation for the observed in vivo defects of the rad50 Walker mutant strains and reveal a novel ATP-independent function for Rad50 in DNA end-bridging.","author":[{"dropping-particle":"","family":"Chen","given":"L","non-dropping-particle":"","parse-names":false,"suffix":""},{"dropping-particle":"","family":"Trujillo","given":"K M","non-dropping-particle":"","parse-names":false,"suffix":""},{"dropping-particle":"","family":"Komen","given":"S","non-dropping-particle":"Van","parse-names":false,"suffix":""},{"dropping-particle":"","family":"Roh","given":"D H","non-dropping-particle":"","parse-names":false,"suffix":""},{"dropping-particle":"","family":"Krejci","given":"L","non-dropping-particle":"","parse-names":false,"suffix":""},{"dropping-particle":"","family":"Lewis","given":"L K","non-dropping-particle":"","parse-names":false,"suffix":""},{"dropping-particle":"","family":"Resnick","given":"M A","non-dropping-particle":"","parse-names":false,"suffix":""},{"dropping-particle":"","family":"Sung","given":"P","non-dropping-particle":"","parse-names":false,"suffix":""},{"dropping-particle":"","family":"Tomkinson","given":"A E","non-dropping-particle":"","parse-names":false,"suffix":""}],"container-title":"The Journal of biological chemistry","id":"ITEM-1","issue":"4","issued":{"date-parts":[["2005"]]},"page":"2620-2627","title":"Effect of amino acid substitutions in the rad50 ATP binding domain on DNA double strand break repair in yeast","type":"article-journal","volume":"280"},"uris":["http://www.mendeley.com/documents/?uuid=228dcc71-d866-46f2-aa7b-3f1dc2efc97a"]}],"mendeley":{"formattedCitation":"[1]","plainTextFormattedCitation":"[1]","previouslyFormattedCitation":"[1]"},"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w:t>
            </w:r>
            <w:r w:rsidRPr="00B415EF">
              <w:rPr>
                <w:rFonts w:ascii="Times New Roman" w:hAnsi="Times New Roman" w:cs="Times New Roman"/>
                <w:sz w:val="18"/>
                <w:szCs w:val="18"/>
              </w:rPr>
              <w:fldChar w:fldCharType="end"/>
            </w:r>
          </w:p>
        </w:tc>
        <w:tc>
          <w:tcPr>
            <w:tcW w:w="1494" w:type="dxa"/>
          </w:tcPr>
          <w:p w14:paraId="2040AD05" w14:textId="429362C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A</w:t>
            </w:r>
          </w:p>
        </w:tc>
        <w:tc>
          <w:tcPr>
            <w:tcW w:w="1634" w:type="dxa"/>
          </w:tcPr>
          <w:p w14:paraId="11BEE05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K40A</w:t>
            </w:r>
          </w:p>
          <w:p w14:paraId="62B22A3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K40R</w:t>
            </w:r>
          </w:p>
          <w:p w14:paraId="039E1075" w14:textId="680AAFC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K40E</w:t>
            </w:r>
          </w:p>
        </w:tc>
        <w:tc>
          <w:tcPr>
            <w:tcW w:w="8350" w:type="dxa"/>
          </w:tcPr>
          <w:p w14:paraId="00DCC323" w14:textId="77777777" w:rsidR="0059084B" w:rsidRPr="00B415EF" w:rsidRDefault="0059084B" w:rsidP="0059084B">
            <w:pPr>
              <w:pStyle w:val="ListParagraph"/>
              <w:numPr>
                <w:ilvl w:val="0"/>
                <w:numId w:val="18"/>
              </w:numPr>
              <w:rPr>
                <w:rFonts w:ascii="Times New Roman" w:hAnsi="Times New Roman" w:cs="Times New Roman"/>
                <w:sz w:val="18"/>
                <w:szCs w:val="18"/>
              </w:rPr>
            </w:pPr>
            <w:r w:rsidRPr="00B415EF">
              <w:rPr>
                <w:rFonts w:ascii="Times New Roman" w:hAnsi="Times New Roman" w:cs="Times New Roman"/>
                <w:sz w:val="18"/>
                <w:szCs w:val="18"/>
              </w:rPr>
              <w:t>All mutation cause hypersensitivity to DNA damaging agent. Also showed homologous recombinant (HR) defects as Rad50 deletion.</w:t>
            </w:r>
          </w:p>
          <w:p w14:paraId="6A720BA7" w14:textId="3036B75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Deficiency in </w:t>
            </w:r>
            <w:proofErr w:type="spellStart"/>
            <w:r w:rsidRPr="00B415EF">
              <w:rPr>
                <w:rFonts w:ascii="Times New Roman" w:hAnsi="Times New Roman" w:cs="Times New Roman"/>
                <w:sz w:val="18"/>
                <w:szCs w:val="18"/>
              </w:rPr>
              <w:t>non homologous</w:t>
            </w:r>
            <w:proofErr w:type="spellEnd"/>
            <w:r w:rsidRPr="00B415EF">
              <w:rPr>
                <w:rFonts w:ascii="Times New Roman" w:hAnsi="Times New Roman" w:cs="Times New Roman"/>
                <w:sz w:val="18"/>
                <w:szCs w:val="18"/>
              </w:rPr>
              <w:t xml:space="preserve"> end joining (NHEJ), defective in ATPase, ATP-dependent, DNA unwinding&amp; ATP stimulated endonuclease activity.</w:t>
            </w:r>
          </w:p>
        </w:tc>
        <w:tc>
          <w:tcPr>
            <w:tcW w:w="1498" w:type="dxa"/>
          </w:tcPr>
          <w:p w14:paraId="34CCEF78" w14:textId="0102FB5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K42A</w:t>
            </w:r>
          </w:p>
          <w:p w14:paraId="350BA5B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K42R</w:t>
            </w:r>
          </w:p>
          <w:p w14:paraId="1AE200A8" w14:textId="6EC8EE6D"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K42E</w:t>
            </w:r>
          </w:p>
        </w:tc>
      </w:tr>
      <w:tr w:rsidR="0059084B" w:rsidRPr="00B415EF" w14:paraId="3526AB29" w14:textId="77777777" w:rsidTr="0059084B">
        <w:tc>
          <w:tcPr>
            <w:tcW w:w="1336" w:type="dxa"/>
          </w:tcPr>
          <w:p w14:paraId="4A4B7026" w14:textId="4E6D0EA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T4 bacteriophage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{"citationItems":[{"id":"ITEM-1","itemData":{"DOI":"10.1074/jbc.M111.256305","abstract":"The ATP binding cassette (ABC) proteins make up a large superfamily with members coming from all kingdoms. The functional form of the ABC protein nucleotide binding domain (NBD) is dimeric with ATP binding sites shared between sub- units. The NBD is defined by six motifs: the Walker A, Q-loop, Signature, Walker-B, D-loop, and H-loop. The D-loop contains a conserved aspartate whose function is not clear but has been proposed to be involved in cross-talk between ATP binding sites. Structures of various ABC proteins suggest an interaction between the D-loop aspartate and an asparagine residue located in WalkerAloop of the opposing subunit. Here, we evaluate the functional role of the D-loop using a bacteriophage T4 ABC protein, Rad50 (gp46). Mutation of either the D-loop aspartate or the Walker A asparagine results in dramatic reductions in ATP affinity, hydrolysis rate, and cooperativity. The mutant proteins bind Mre11 (gp47) and DNA normally, but no longer support the ATP-dependent nuclease activities of Mre11. We propose that the D-loop aspartate functions to stabilize the Walker A asparagine in a position favorable for catalysis. We find that the asparagine is crucially important to the mechanism of ATP hydrolysis by increasing the affinity for ATP and posi- tioning the ? -phosphate of ATP for catalysis. Additionally, we propose that the asparagine acts as a ? -phosphate sensor and, through its interaction with the conserved D-loop aspartate, transmits conformational changes across the dimer interface to the second ATP binding site.","author":[{"dropping-particle":"","family":"La Rosa Metzere Bierlein","given":"","non-dropping-particle":"De","parse-names":false,"suffix":""},{"dropping-particle":"","family":"and Scott W. Nelson","given":"","non-dropping-particle":"","parse-names":false,"suffix":""}],"container-title":"The Journal of biological chemistry","id":"ITEM-1","issue":"29","issued":{"date-parts":[["2011"]]},"page":"26258-26266","title":"An Interaction between the Walker A and D-loop Motifs Is Critical to ATP Hydrolysis and Cooperativity in Bacteriophage","type":"article-journal","volume":"286"},"uris":["http://www.mendeley.com/documents/?uuid=bf3183e7-8be5-42e2-a8c9-0cd8d4513773"]}],"mendeley":{"formattedCitation":"[2]","plainTextFormattedCitation":"[2]","previouslyFormattedCitation":"[2]"},"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[2]</w:t>
            </w:r>
            <w:r w:rsidRPr="00B415EF">
              <w:rPr>
                <w:rFonts w:ascii="Times New Roman" w:hAnsi="Times New Roman" w:cs="Times New Roman"/>
                <w:sz w:val="18"/>
                <w:szCs w:val="18"/>
              </w:rPr>
              <w:fldChar w:fldCharType="end"/>
            </w:r>
          </w:p>
        </w:tc>
        <w:tc>
          <w:tcPr>
            <w:tcW w:w="1494" w:type="dxa"/>
          </w:tcPr>
          <w:p w14:paraId="2B41051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A</w:t>
            </w:r>
          </w:p>
          <w:p w14:paraId="786D484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w:t>
            </w:r>
          </w:p>
          <w:p w14:paraId="137AAE7A" w14:textId="77777777" w:rsidR="0059084B" w:rsidRPr="00B415EF" w:rsidRDefault="0059084B" w:rsidP="0059084B">
            <w:pPr>
              <w:rPr>
                <w:rFonts w:ascii="Times New Roman" w:hAnsi="Times New Roman" w:cs="Times New Roman"/>
                <w:sz w:val="18"/>
                <w:szCs w:val="18"/>
              </w:rPr>
            </w:pPr>
          </w:p>
          <w:p w14:paraId="64843A5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&amp; </w:t>
            </w:r>
          </w:p>
          <w:p w14:paraId="3FBEE20A" w14:textId="77777777" w:rsidR="0059084B" w:rsidRPr="00B415EF" w:rsidRDefault="0059084B" w:rsidP="0059084B">
            <w:pPr>
              <w:rPr>
                <w:rFonts w:ascii="Times New Roman" w:hAnsi="Times New Roman" w:cs="Times New Roman"/>
                <w:sz w:val="18"/>
                <w:szCs w:val="18"/>
              </w:rPr>
            </w:pPr>
          </w:p>
          <w:p w14:paraId="13C72856" w14:textId="18F2699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D-loop</w:t>
            </w:r>
          </w:p>
        </w:tc>
        <w:tc>
          <w:tcPr>
            <w:tcW w:w="1634" w:type="dxa"/>
          </w:tcPr>
          <w:p w14:paraId="7D05AA9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R37A</w:t>
            </w:r>
          </w:p>
          <w:p w14:paraId="5D6F8D5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N38A</w:t>
            </w:r>
          </w:p>
          <w:p w14:paraId="1B8E6547" w14:textId="77777777" w:rsidR="0059084B" w:rsidRPr="00B415EF" w:rsidRDefault="0059084B" w:rsidP="0059084B">
            <w:pPr>
              <w:rPr>
                <w:rFonts w:ascii="Times New Roman" w:hAnsi="Times New Roman" w:cs="Times New Roman"/>
                <w:sz w:val="18"/>
                <w:szCs w:val="18"/>
              </w:rPr>
            </w:pPr>
          </w:p>
          <w:p w14:paraId="40D0156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D512N</w:t>
            </w:r>
          </w:p>
          <w:p w14:paraId="09D11A1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D512A</w:t>
            </w:r>
          </w:p>
          <w:p w14:paraId="35E35EE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E514Q</w:t>
            </w:r>
          </w:p>
          <w:p w14:paraId="6B86E618" w14:textId="6EBD206E"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E515A</w:t>
            </w:r>
          </w:p>
        </w:tc>
        <w:tc>
          <w:tcPr>
            <w:tcW w:w="8350" w:type="dxa"/>
          </w:tcPr>
          <w:p w14:paraId="3E250D41" w14:textId="77777777" w:rsidR="0059084B" w:rsidRPr="00B415EF" w:rsidRDefault="0059084B" w:rsidP="0059084B">
            <w:pPr>
              <w:pStyle w:val="ListParagraph"/>
              <w:numPr>
                <w:ilvl w:val="0"/>
                <w:numId w:val="8"/>
              </w:numPr>
              <w:rPr>
                <w:rFonts w:ascii="Times New Roman" w:hAnsi="Times New Roman" w:cs="Times New Roman"/>
                <w:sz w:val="18"/>
                <w:szCs w:val="18"/>
              </w:rPr>
            </w:pPr>
            <w:r w:rsidRPr="00B415EF">
              <w:rPr>
                <w:rFonts w:ascii="Times New Roman" w:hAnsi="Times New Roman" w:cs="Times New Roman"/>
                <w:sz w:val="18"/>
                <w:szCs w:val="18"/>
              </w:rPr>
              <w:t xml:space="preserve">D512H and N38I </w:t>
            </w:r>
            <w:bookmarkStart w:id="1" w:name="_Hlk514490440"/>
            <w:r w:rsidRPr="00B415EF">
              <w:rPr>
                <w:rFonts w:ascii="Times New Roman" w:hAnsi="Times New Roman" w:cs="Times New Roman"/>
                <w:sz w:val="18"/>
                <w:szCs w:val="18"/>
              </w:rPr>
              <w:t xml:space="preserve">are the naturally </w:t>
            </w:r>
            <w:proofErr w:type="spellStart"/>
            <w:r w:rsidRPr="00B415EF">
              <w:rPr>
                <w:rFonts w:ascii="Times New Roman" w:hAnsi="Times New Roman" w:cs="Times New Roman"/>
                <w:sz w:val="18"/>
                <w:szCs w:val="18"/>
              </w:rPr>
              <w:t>occuring</w:t>
            </w:r>
            <w:proofErr w:type="spellEnd"/>
            <w:r w:rsidRPr="00B415EF">
              <w:rPr>
                <w:rFonts w:ascii="Times New Roman" w:hAnsi="Times New Roman" w:cs="Times New Roman"/>
                <w:sz w:val="18"/>
                <w:szCs w:val="18"/>
              </w:rPr>
              <w:t xml:space="preserve"> mutation in the Cystic fibrosis transmembrane conductance regulator (CFTR) which lead to cystic fibrosis.</w:t>
            </w:r>
            <w:bookmarkEnd w:id="1"/>
          </w:p>
          <w:p w14:paraId="2E7A4ADF" w14:textId="77777777" w:rsidR="0059084B" w:rsidRPr="00B415EF" w:rsidRDefault="0059084B" w:rsidP="0059084B">
            <w:pPr>
              <w:pStyle w:val="ListParagraph"/>
              <w:numPr>
                <w:ilvl w:val="0"/>
                <w:numId w:val="8"/>
              </w:numPr>
              <w:rPr>
                <w:rFonts w:ascii="Times New Roman" w:hAnsi="Times New Roman" w:cs="Times New Roman"/>
                <w:sz w:val="18"/>
                <w:szCs w:val="18"/>
              </w:rPr>
            </w:pPr>
            <w:r w:rsidRPr="00B415EF">
              <w:rPr>
                <w:rFonts w:ascii="Times New Roman" w:hAnsi="Times New Roman" w:cs="Times New Roman"/>
                <w:sz w:val="18"/>
                <w:szCs w:val="18"/>
              </w:rPr>
              <w:t>Mutation of D512N and D512A (D-loop) and N38A (WA) results in dramatic reduction in ATP affinity, hydrolysis rate and cooperativity.</w:t>
            </w:r>
          </w:p>
          <w:p w14:paraId="24971D7D" w14:textId="77777777" w:rsidR="0059084B" w:rsidRPr="00B415EF" w:rsidRDefault="0059084B" w:rsidP="0059084B">
            <w:pPr>
              <w:pStyle w:val="ListParagraph"/>
              <w:numPr>
                <w:ilvl w:val="0"/>
                <w:numId w:val="8"/>
              </w:numPr>
              <w:rPr>
                <w:rFonts w:ascii="Times New Roman" w:hAnsi="Times New Roman" w:cs="Times New Roman"/>
                <w:sz w:val="18"/>
                <w:szCs w:val="18"/>
              </w:rPr>
            </w:pPr>
            <w:r w:rsidRPr="00B415EF">
              <w:rPr>
                <w:rFonts w:ascii="Times New Roman" w:hAnsi="Times New Roman" w:cs="Times New Roman"/>
                <w:sz w:val="18"/>
                <w:szCs w:val="18"/>
              </w:rPr>
              <w:t xml:space="preserve">D loop aspartate (D) </w:t>
            </w:r>
            <w:proofErr w:type="spellStart"/>
            <w:r w:rsidRPr="00B415EF">
              <w:rPr>
                <w:rFonts w:ascii="Times New Roman" w:hAnsi="Times New Roman" w:cs="Times New Roman"/>
                <w:sz w:val="18"/>
                <w:szCs w:val="18"/>
              </w:rPr>
              <w:t>fx</w:t>
            </w:r>
            <w:proofErr w:type="spellEnd"/>
            <w:r w:rsidRPr="00B415EF">
              <w:rPr>
                <w:rFonts w:ascii="Times New Roman" w:hAnsi="Times New Roman" w:cs="Times New Roman"/>
                <w:sz w:val="18"/>
                <w:szCs w:val="18"/>
              </w:rPr>
              <w:t xml:space="preserve"> </w:t>
            </w:r>
            <w:proofErr w:type="spellStart"/>
            <w:r w:rsidRPr="00B415EF">
              <w:rPr>
                <w:rFonts w:ascii="Times New Roman" w:hAnsi="Times New Roman" w:cs="Times New Roman"/>
                <w:sz w:val="18"/>
                <w:szCs w:val="18"/>
              </w:rPr>
              <w:t>tu</w:t>
            </w:r>
            <w:proofErr w:type="spellEnd"/>
            <w:r w:rsidRPr="00B415EF">
              <w:rPr>
                <w:rFonts w:ascii="Times New Roman" w:hAnsi="Times New Roman" w:cs="Times New Roman"/>
                <w:sz w:val="18"/>
                <w:szCs w:val="18"/>
              </w:rPr>
              <w:t xml:space="preserve"> stabilize the WA in a position </w:t>
            </w:r>
            <w:proofErr w:type="spellStart"/>
            <w:r w:rsidRPr="00B415EF">
              <w:rPr>
                <w:rFonts w:ascii="Times New Roman" w:hAnsi="Times New Roman" w:cs="Times New Roman"/>
                <w:sz w:val="18"/>
                <w:szCs w:val="18"/>
              </w:rPr>
              <w:t>favorable</w:t>
            </w:r>
            <w:proofErr w:type="spellEnd"/>
            <w:r w:rsidRPr="00B415EF">
              <w:rPr>
                <w:rFonts w:ascii="Times New Roman" w:hAnsi="Times New Roman" w:cs="Times New Roman"/>
                <w:sz w:val="18"/>
                <w:szCs w:val="18"/>
              </w:rPr>
              <w:t xml:space="preserve"> for catalysis.</w:t>
            </w:r>
          </w:p>
          <w:p w14:paraId="5452FB08" w14:textId="77777777" w:rsidR="0059084B" w:rsidRPr="00B415EF" w:rsidRDefault="0059084B" w:rsidP="0059084B">
            <w:pPr>
              <w:pStyle w:val="ListParagraph"/>
              <w:numPr>
                <w:ilvl w:val="0"/>
                <w:numId w:val="8"/>
              </w:numPr>
              <w:rPr>
                <w:rFonts w:ascii="Times New Roman" w:hAnsi="Times New Roman" w:cs="Times New Roman"/>
                <w:sz w:val="18"/>
                <w:szCs w:val="18"/>
              </w:rPr>
            </w:pPr>
            <w:r w:rsidRPr="00B415EF">
              <w:rPr>
                <w:rFonts w:ascii="Times New Roman" w:hAnsi="Times New Roman" w:cs="Times New Roman"/>
                <w:sz w:val="18"/>
                <w:szCs w:val="18"/>
              </w:rPr>
              <w:t>N38 (</w:t>
            </w:r>
            <w:proofErr w:type="spellStart"/>
            <w:r w:rsidRPr="00B415EF">
              <w:rPr>
                <w:rFonts w:ascii="Times New Roman" w:hAnsi="Times New Roman" w:cs="Times New Roman"/>
                <w:sz w:val="18"/>
                <w:szCs w:val="18"/>
              </w:rPr>
              <w:t>asparigine</w:t>
            </w:r>
            <w:proofErr w:type="spellEnd"/>
            <w:r w:rsidRPr="00B415EF">
              <w:rPr>
                <w:rFonts w:ascii="Times New Roman" w:hAnsi="Times New Roman" w:cs="Times New Roman"/>
                <w:sz w:val="18"/>
                <w:szCs w:val="18"/>
              </w:rPr>
              <w:t>) is crucial for mechanism of ATP hydrolysis by increase affinity to ATP &amp; positioning the γ-phosphate of ATP for catalysis.</w:t>
            </w:r>
          </w:p>
          <w:p w14:paraId="171BFE32" w14:textId="0E754BB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E514Q, E515A and R37A has little effects on ATP hydrolysis and nuclease activity of Mre11.</w:t>
            </w:r>
          </w:p>
        </w:tc>
        <w:tc>
          <w:tcPr>
            <w:tcW w:w="1498" w:type="dxa"/>
          </w:tcPr>
          <w:p w14:paraId="4B1A3BCB" w14:textId="343602F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P37A</w:t>
            </w:r>
          </w:p>
          <w:p w14:paraId="4874BA5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N38A</w:t>
            </w:r>
          </w:p>
          <w:p w14:paraId="411E0635" w14:textId="77777777" w:rsidR="0059084B" w:rsidRPr="00B415EF" w:rsidRDefault="0059084B" w:rsidP="0059084B">
            <w:pPr>
              <w:rPr>
                <w:rFonts w:ascii="Times New Roman" w:hAnsi="Times New Roman" w:cs="Times New Roman"/>
                <w:sz w:val="18"/>
                <w:szCs w:val="18"/>
              </w:rPr>
            </w:pPr>
          </w:p>
          <w:p w14:paraId="37E0EE3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D1238N</w:t>
            </w:r>
          </w:p>
          <w:p w14:paraId="4B20122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D1238A</w:t>
            </w:r>
          </w:p>
          <w:p w14:paraId="2864DE9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E1240Q</w:t>
            </w:r>
          </w:p>
          <w:p w14:paraId="40BB6BA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N1241A</w:t>
            </w:r>
          </w:p>
        </w:tc>
      </w:tr>
      <w:tr w:rsidR="0059084B" w:rsidRPr="00B415EF" w14:paraId="17F8E9A0" w14:textId="77777777" w:rsidTr="0059084B">
        <w:tc>
          <w:tcPr>
            <w:tcW w:w="1336" w:type="dxa"/>
          </w:tcPr>
          <w:p w14:paraId="03AFF66E" w14:textId="5D7BEBB2" w:rsidR="0059084B" w:rsidRPr="00B415EF" w:rsidRDefault="0059084B" w:rsidP="0059084B">
            <w:pPr>
              <w:rPr>
                <w:rFonts w:ascii="Times New Roman" w:hAnsi="Times New Roman" w:cs="Times New Roman"/>
                <w:sz w:val="18"/>
                <w:szCs w:val="18"/>
              </w:rPr>
            </w:pPr>
            <w:bookmarkStart w:id="2" w:name="_Hlk514489707"/>
            <w:r w:rsidRPr="00B415EF">
              <w:rPr>
                <w:rFonts w:ascii="Times New Roman" w:hAnsi="Times New Roman" w:cs="Times New Roman"/>
                <w:i/>
                <w:sz w:val="18"/>
                <w:szCs w:val="18"/>
              </w:rPr>
              <w:t>Saccharomyces cerevisiae</w:t>
            </w:r>
            <w:bookmarkEnd w:id="2"/>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{"citationItems":[{"id":"ITEM-1","itemData":{"DOI":"10.1016/0092-8674(90)90524-I","ISBN":"0092-8674 (Print)","ISSN":"00928674","PMID":"2185891","abstract":"The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author":[{"dropping-particle":"","family":"Alani","given":"Eric","non-dropping-particle":"","parse-names":false,"suffix":""},{"dropping-particle":"","family":"Padmore","given":"Ruth","non-dropping-particle":"","parse-names":false,"suffix":""},{"dropping-particle":"","family":"Kleckner","given":"Nancy","non-dropping-particle":"","parse-names":false,"suffix":""}],"container-title":"Cell","id":"ITEM-1","issue":"3","issued":{"date-parts":[["1990"]]},"page":"419-436","title":"Analysis of wild-type and rad50 mutants of yeast suggests an intimate relationship between meiotic chromosome synapsis and recombination","type":"article-journal","volume":"61"},"uris":["http://www.mendeley.com/documents/?uuid=93727f66-85ff-4c2f-b8a6-0e8e9b7ffdf6"]}],"mendeley":{"formattedCitation":"[3]","plainTextFormattedCitation":"[3]","previouslyFormattedCitation":"[3]"},"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[3]</w:t>
            </w:r>
            <w:r w:rsidRPr="00B415EF">
              <w:rPr>
                <w:rFonts w:ascii="Times New Roman" w:hAnsi="Times New Roman" w:cs="Times New Roman"/>
                <w:sz w:val="18"/>
                <w:szCs w:val="18"/>
              </w:rPr>
              <w:fldChar w:fldCharType="end"/>
            </w:r>
          </w:p>
        </w:tc>
        <w:tc>
          <w:tcPr>
            <w:tcW w:w="1494" w:type="dxa"/>
          </w:tcPr>
          <w:p w14:paraId="26C94BB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ATP binding domain </w:t>
            </w:r>
          </w:p>
          <w:p w14:paraId="1369F250" w14:textId="77777777" w:rsidR="0059084B" w:rsidRPr="00B415EF" w:rsidRDefault="0059084B" w:rsidP="0059084B">
            <w:pPr>
              <w:rPr>
                <w:rFonts w:ascii="Times New Roman" w:hAnsi="Times New Roman" w:cs="Times New Roman"/>
                <w:sz w:val="18"/>
                <w:szCs w:val="18"/>
              </w:rPr>
            </w:pPr>
          </w:p>
          <w:p w14:paraId="6281AA3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&amp;</w:t>
            </w:r>
          </w:p>
          <w:p w14:paraId="236B36C7" w14:textId="77777777" w:rsidR="0059084B" w:rsidRPr="00B415EF" w:rsidRDefault="0059084B" w:rsidP="0059084B">
            <w:pPr>
              <w:rPr>
                <w:rFonts w:ascii="Times New Roman" w:hAnsi="Times New Roman" w:cs="Times New Roman"/>
                <w:sz w:val="18"/>
                <w:szCs w:val="18"/>
              </w:rPr>
            </w:pPr>
          </w:p>
          <w:p w14:paraId="6321385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A</w:t>
            </w:r>
          </w:p>
          <w:p w14:paraId="0C7C8AAD" w14:textId="77777777" w:rsidR="0059084B" w:rsidRPr="00B415EF" w:rsidRDefault="0059084B" w:rsidP="0059084B">
            <w:pPr>
              <w:rPr>
                <w:rFonts w:ascii="Times New Roman" w:hAnsi="Times New Roman" w:cs="Times New Roman"/>
                <w:sz w:val="18"/>
                <w:szCs w:val="18"/>
              </w:rPr>
            </w:pPr>
          </w:p>
          <w:p w14:paraId="20E0D37C" w14:textId="77777777" w:rsidR="0059084B" w:rsidRPr="00B415EF" w:rsidRDefault="0059084B" w:rsidP="0059084B">
            <w:pPr>
              <w:rPr>
                <w:rFonts w:ascii="Times New Roman" w:hAnsi="Times New Roman" w:cs="Times New Roman"/>
                <w:sz w:val="18"/>
                <w:szCs w:val="18"/>
              </w:rPr>
            </w:pPr>
          </w:p>
          <w:p w14:paraId="26B854DD" w14:textId="77777777" w:rsidR="0059084B" w:rsidRPr="00B415EF" w:rsidRDefault="0059084B" w:rsidP="0059084B">
            <w:pPr>
              <w:rPr>
                <w:rFonts w:ascii="Times New Roman" w:hAnsi="Times New Roman" w:cs="Times New Roman"/>
                <w:sz w:val="18"/>
                <w:szCs w:val="18"/>
              </w:rPr>
            </w:pPr>
          </w:p>
        </w:tc>
        <w:tc>
          <w:tcPr>
            <w:tcW w:w="1634" w:type="dxa"/>
          </w:tcPr>
          <w:p w14:paraId="68920B9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K6E</w:t>
            </w:r>
          </w:p>
          <w:p w14:paraId="45D405A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S14P</w:t>
            </w:r>
          </w:p>
          <w:p w14:paraId="71EA01C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R20M</w:t>
            </w:r>
          </w:p>
          <w:p w14:paraId="39522F6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E21K</w:t>
            </w:r>
          </w:p>
          <w:p w14:paraId="20F0E6E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G39D (WA)</w:t>
            </w:r>
          </w:p>
          <w:p w14:paraId="54D7AC2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K40E (WA)</w:t>
            </w:r>
          </w:p>
          <w:p w14:paraId="70F4F5E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V63E</w:t>
            </w:r>
          </w:p>
          <w:p w14:paraId="008AFB5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Q79K</w:t>
            </w:r>
          </w:p>
          <w:p w14:paraId="6ED9BAE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K81I</w:t>
            </w:r>
          </w:p>
          <w:p w14:paraId="31E34E5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N97D</w:t>
            </w:r>
          </w:p>
          <w:p w14:paraId="7842182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Q99K</w:t>
            </w:r>
          </w:p>
          <w:p w14:paraId="1AA49BB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E915V</w:t>
            </w:r>
          </w:p>
          <w:p w14:paraId="02DF5BBF" w14:textId="37F7249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A930P</w:t>
            </w:r>
          </w:p>
        </w:tc>
        <w:tc>
          <w:tcPr>
            <w:tcW w:w="8350" w:type="dxa"/>
          </w:tcPr>
          <w:p w14:paraId="44E62483" w14:textId="77777777" w:rsidR="0059084B" w:rsidRPr="00B415EF" w:rsidRDefault="0059084B" w:rsidP="0059084B">
            <w:pPr>
              <w:pStyle w:val="ListParagraph"/>
              <w:numPr>
                <w:ilvl w:val="0"/>
                <w:numId w:val="9"/>
              </w:numPr>
              <w:rPr>
                <w:rFonts w:ascii="Times New Roman" w:hAnsi="Times New Roman" w:cs="Times New Roman"/>
                <w:sz w:val="18"/>
                <w:szCs w:val="18"/>
              </w:rPr>
            </w:pPr>
            <w:r w:rsidRPr="00B415EF">
              <w:rPr>
                <w:rFonts w:ascii="Times New Roman" w:hAnsi="Times New Roman" w:cs="Times New Roman"/>
                <w:sz w:val="18"/>
                <w:szCs w:val="18"/>
              </w:rPr>
              <w:t>G39D and K40</w:t>
            </w:r>
            <w:proofErr w:type="gramStart"/>
            <w:r w:rsidRPr="00B415EF">
              <w:rPr>
                <w:rFonts w:ascii="Times New Roman" w:hAnsi="Times New Roman" w:cs="Times New Roman"/>
                <w:sz w:val="18"/>
                <w:szCs w:val="18"/>
              </w:rPr>
              <w:t>E :</w:t>
            </w:r>
            <w:proofErr w:type="gramEnd"/>
            <w:r w:rsidRPr="00B415EF">
              <w:rPr>
                <w:rFonts w:ascii="Times New Roman" w:hAnsi="Times New Roman" w:cs="Times New Roman"/>
                <w:sz w:val="18"/>
                <w:szCs w:val="18"/>
              </w:rPr>
              <w:t xml:space="preserve"> Both of this mutation confer a phenotype identical to Rad50 null mutation characterized by </w:t>
            </w:r>
            <w:bookmarkStart w:id="3" w:name="_Hlk514490812"/>
            <w:r w:rsidRPr="00B415EF">
              <w:rPr>
                <w:rFonts w:ascii="Times New Roman" w:hAnsi="Times New Roman" w:cs="Times New Roman"/>
                <w:sz w:val="18"/>
                <w:szCs w:val="18"/>
              </w:rPr>
              <w:t>total defect in formation of viable spore.</w:t>
            </w:r>
            <w:bookmarkEnd w:id="3"/>
          </w:p>
          <w:p w14:paraId="4C13938D" w14:textId="77777777" w:rsidR="0059084B" w:rsidRPr="00B415EF" w:rsidRDefault="0059084B" w:rsidP="0059084B">
            <w:pPr>
              <w:pStyle w:val="ListParagraph"/>
              <w:numPr>
                <w:ilvl w:val="0"/>
                <w:numId w:val="9"/>
              </w:numPr>
              <w:rPr>
                <w:rFonts w:ascii="Times New Roman" w:hAnsi="Times New Roman" w:cs="Times New Roman"/>
                <w:sz w:val="18"/>
                <w:szCs w:val="18"/>
              </w:rPr>
            </w:pPr>
            <w:r w:rsidRPr="00B415EF">
              <w:rPr>
                <w:rFonts w:ascii="Times New Roman" w:hAnsi="Times New Roman" w:cs="Times New Roman"/>
                <w:sz w:val="18"/>
                <w:szCs w:val="18"/>
              </w:rPr>
              <w:t xml:space="preserve">G39D and K40E is highly conserved residue and analogous changes eliminate ATP hydrolysis (Personage et al. 1987; Sung et al. 1988 </w:t>
            </w:r>
            <w:proofErr w:type="spellStart"/>
            <w:r w:rsidRPr="00B415EF">
              <w:rPr>
                <w:rFonts w:ascii="Times New Roman" w:hAnsi="Times New Roman" w:cs="Times New Roman"/>
                <w:sz w:val="18"/>
                <w:szCs w:val="18"/>
              </w:rPr>
              <w:t>amd</w:t>
            </w:r>
            <w:proofErr w:type="spellEnd"/>
            <w:r w:rsidRPr="00B415EF">
              <w:rPr>
                <w:rFonts w:ascii="Times New Roman" w:hAnsi="Times New Roman" w:cs="Times New Roman"/>
                <w:sz w:val="18"/>
                <w:szCs w:val="18"/>
              </w:rPr>
              <w:t xml:space="preserve"> </w:t>
            </w:r>
            <w:proofErr w:type="spellStart"/>
            <w:r w:rsidRPr="00B415EF">
              <w:rPr>
                <w:rFonts w:ascii="Times New Roman" w:hAnsi="Times New Roman" w:cs="Times New Roman"/>
                <w:sz w:val="18"/>
                <w:szCs w:val="18"/>
              </w:rPr>
              <w:t>Reinstein</w:t>
            </w:r>
            <w:proofErr w:type="spellEnd"/>
            <w:r w:rsidRPr="00B415EF">
              <w:rPr>
                <w:rFonts w:ascii="Times New Roman" w:hAnsi="Times New Roman" w:cs="Times New Roman"/>
                <w:sz w:val="18"/>
                <w:szCs w:val="18"/>
              </w:rPr>
              <w:t xml:space="preserve"> et al. 1988).</w:t>
            </w:r>
          </w:p>
          <w:p w14:paraId="26105986" w14:textId="77777777" w:rsidR="0059084B" w:rsidRPr="00B415EF" w:rsidRDefault="0059084B" w:rsidP="0059084B">
            <w:pPr>
              <w:pStyle w:val="ListParagraph"/>
              <w:numPr>
                <w:ilvl w:val="0"/>
                <w:numId w:val="9"/>
              </w:numPr>
              <w:rPr>
                <w:rFonts w:ascii="Times New Roman" w:hAnsi="Times New Roman" w:cs="Times New Roman"/>
                <w:sz w:val="18"/>
                <w:szCs w:val="18"/>
              </w:rPr>
            </w:pPr>
            <w:r w:rsidRPr="00B415EF">
              <w:rPr>
                <w:rFonts w:ascii="Times New Roman" w:hAnsi="Times New Roman" w:cs="Times New Roman"/>
                <w:sz w:val="18"/>
                <w:szCs w:val="18"/>
              </w:rPr>
              <w:t xml:space="preserve">From 9 residue located at ATPase at N terminal </w:t>
            </w:r>
            <w:r w:rsidRPr="00B415EF">
              <w:t>(</w:t>
            </w:r>
            <w:r w:rsidRPr="00B415EF">
              <w:rPr>
                <w:rFonts w:ascii="Times New Roman" w:hAnsi="Times New Roman" w:cs="Times New Roman"/>
                <w:sz w:val="18"/>
                <w:szCs w:val="18"/>
              </w:rPr>
              <w:t>K6E, S14P, R20M, E21K,</w:t>
            </w:r>
            <w:r w:rsidRPr="00B415EF">
              <w:t xml:space="preserve"> </w:t>
            </w:r>
            <w:r w:rsidRPr="00B415EF">
              <w:rPr>
                <w:rFonts w:ascii="Times New Roman" w:hAnsi="Times New Roman" w:cs="Times New Roman"/>
                <w:sz w:val="18"/>
                <w:szCs w:val="18"/>
              </w:rPr>
              <w:t xml:space="preserve">V63E, Q79K, K81I, N97D), only K81I and R20M exhibit total phenotype defects in sporulation but still nearly to WT in term of resistance to MMS (DNA damage reagent). </w:t>
            </w:r>
          </w:p>
          <w:p w14:paraId="5C47203A" w14:textId="77777777" w:rsidR="0059084B" w:rsidRPr="00B415EF" w:rsidRDefault="0059084B" w:rsidP="0059084B">
            <w:pPr>
              <w:pStyle w:val="ListParagraph"/>
              <w:numPr>
                <w:ilvl w:val="0"/>
                <w:numId w:val="9"/>
              </w:numPr>
              <w:rPr>
                <w:rFonts w:ascii="Times New Roman" w:hAnsi="Times New Roman" w:cs="Times New Roman"/>
                <w:sz w:val="18"/>
                <w:szCs w:val="18"/>
              </w:rPr>
            </w:pPr>
            <w:r w:rsidRPr="00B415EF">
              <w:rPr>
                <w:rFonts w:ascii="Times New Roman" w:hAnsi="Times New Roman" w:cs="Times New Roman"/>
                <w:sz w:val="18"/>
                <w:szCs w:val="18"/>
              </w:rPr>
              <w:t>Rad50 null mutation (complete deletion 3.9kb) showed 3 mitotic defects; 1) sensitive to MMS 2) defect in normal vegetative growth even in high rich media. 3) failure in DNA damage that arise spontaneously or during DNA replication.</w:t>
            </w:r>
          </w:p>
          <w:p w14:paraId="4213A252" w14:textId="2FAC33E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Double mutation: E915V + A930P showed temperature sensitive.</w:t>
            </w:r>
          </w:p>
        </w:tc>
        <w:tc>
          <w:tcPr>
            <w:tcW w:w="1498" w:type="dxa"/>
          </w:tcPr>
          <w:p w14:paraId="108D97C8" w14:textId="27F3767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K6E</w:t>
            </w:r>
          </w:p>
          <w:p w14:paraId="2304818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S14P</w:t>
            </w:r>
          </w:p>
          <w:p w14:paraId="7EE95EB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K22M</w:t>
            </w:r>
          </w:p>
          <w:p w14:paraId="59E3BAC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Q23K</w:t>
            </w:r>
          </w:p>
          <w:p w14:paraId="1080F03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G41D</w:t>
            </w:r>
          </w:p>
          <w:p w14:paraId="3D8BF68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K42E</w:t>
            </w:r>
          </w:p>
          <w:p w14:paraId="3D7D414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T65E</w:t>
            </w:r>
          </w:p>
          <w:p w14:paraId="093E2F6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Q81K</w:t>
            </w:r>
          </w:p>
          <w:p w14:paraId="31ACC6B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R83I</w:t>
            </w:r>
          </w:p>
          <w:p w14:paraId="4C4FA3C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S99D</w:t>
            </w:r>
          </w:p>
          <w:p w14:paraId="264B18E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V101K</w:t>
            </w:r>
          </w:p>
          <w:p w14:paraId="2A08442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K921V</w:t>
            </w:r>
          </w:p>
          <w:p w14:paraId="1A2BFA1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S936P</w:t>
            </w:r>
          </w:p>
        </w:tc>
      </w:tr>
      <w:tr w:rsidR="0059084B" w:rsidRPr="00B415EF" w14:paraId="19332270" w14:textId="77777777" w:rsidTr="0059084B">
        <w:tc>
          <w:tcPr>
            <w:tcW w:w="1336" w:type="dxa"/>
          </w:tcPr>
          <w:p w14:paraId="265663A8" w14:textId="0E68625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Mus musculus</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{"citationItems":[{"id":"ITEM-1","itemData":{"DOI":"10.1101/gad.1007902","ISBN":"0890-9369 (Print)\\r0890-9369 (Linking)","ISSN":"08909369","PMID":"12208847","abstract":"Mre11, Rad50, and Nbs1 function in a protein complex that is central to the metabolism of chromosome breaks. Null mutants of each are inviable. We demonstrate here that hypomorphic Rad50 mutant mice (Rad50(S/S) mice) exhibited growth defects and cancer predisposition. Rad50(S/S) mice died with complete bone marrow depletion as a result of progressive hematopoietic stem cell failure. Similar attrition occurred in spermatogenic cells. In both contexts, attrition was substantially mitigated by p53 deficiency, whereas the tumor latency of p53(-/-) and p53(+/-) animals was reduced by Rad50(S/S). Indices of genotoxic stress and chromosomal rearrangements were evident in Rad50(S/S) cultured cells, as well as in Rad50(S/S) and p53(-/-) Rad50(S/S) lymphomas, suggesting that the Rad50(S/S) phenotype was attributable to chromosomal instability. These outcomes were not associated with overt defects in the Mre11 complex's previously established double strand break repair and cell cycle checkpoint regulation functions. The data indicate that even subtle perturbation of Mre11 complex functions results in severe genotoxic stress, and that the complex is critically important for homeostasis of proliferative tissues.","author":[{"dropping-particle":"","family":"Bender","given":"Carla F.","non-dropping-particle":"","parse-names":false,"suffix":""},{"dropping-particle":"","family":"Sikes","given":"Michael L.","non-dropping-particle":"","parse-names":false,"suffix":""},{"dropping-particle":"","family":"Sullivan","given":"Ruth","non-dropping-particle":"","parse-names":false,"suffix":""},{"dropping-particle":"","family":"Huye","given":"Leslie Erskine","non-dropping-particle":"","parse-names":false,"suffix":""},{"dropping-particle":"","family":"Beau","given":"Michelle M.","non-dropping-particle":"Le","parse-names":false,"suffix":""},{"dropping-particle":"","family":"Roth","given":"David B.","non-dropping-particle":"","parse-names":false,"suffix":""},{"dropping-particle":"","family":"Mirzoeva","given":"Olga K.","non-dropping-particle":"","parse-names":false,"suffix":""},{"dropping-particle":"","family":"Oltz","given":"Eugene M.","non-dropping-particle":"","parse-names":false,"suffix":""},{"dropping-particle":"","family":"Petrini","given":"John H J","non-dropping-particle":"","parse-names":false,"suffix":""}],"container-title":"Genes and Development","id":"ITEM-1","issue":"17","issued":{"date-parts":[["2002"]]},"page":"2237-2251","title":"Cancer predisposition and hematopoietic failure in Rad50S/S mice","type":"article-journal","volume":"16"},"uris":["http://www.mendeley.com/documents/?uuid=c0180c39-861f-4a5a-bad7-a1b28522bd6e"]}],"mendeley":{"formattedCitation":"[4]","plainTextFormattedCitation":"[4]","previouslyFormattedCitation":"[4]"},"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[4]</w:t>
            </w:r>
            <w:r w:rsidRPr="00B415EF">
              <w:rPr>
                <w:rFonts w:ascii="Times New Roman" w:hAnsi="Times New Roman" w:cs="Times New Roman"/>
                <w:sz w:val="18"/>
                <w:szCs w:val="18"/>
              </w:rPr>
              <w:fldChar w:fldCharType="end"/>
            </w:r>
          </w:p>
        </w:tc>
        <w:tc>
          <w:tcPr>
            <w:tcW w:w="1494" w:type="dxa"/>
          </w:tcPr>
          <w:p w14:paraId="73EB84F8" w14:textId="6C1DFE3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ATP binding domain</w:t>
            </w:r>
          </w:p>
        </w:tc>
        <w:tc>
          <w:tcPr>
            <w:tcW w:w="1634" w:type="dxa"/>
          </w:tcPr>
          <w:p w14:paraId="1F43453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K6E =K6E</w:t>
            </w:r>
            <w:r w:rsidRPr="00B415EF">
              <w:rPr>
                <w:rFonts w:ascii="Times New Roman" w:hAnsi="Times New Roman" w:cs="Times New Roman"/>
                <w:sz w:val="18"/>
                <w:szCs w:val="18"/>
                <w:vertAlign w:val="superscript"/>
              </w:rPr>
              <w:t>Sc</w:t>
            </w:r>
          </w:p>
          <w:p w14:paraId="72C2333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K22M=R20M</w:t>
            </w:r>
            <w:r w:rsidRPr="00B415EF">
              <w:rPr>
                <w:rFonts w:ascii="Times New Roman" w:hAnsi="Times New Roman" w:cs="Times New Roman"/>
                <w:sz w:val="18"/>
                <w:szCs w:val="18"/>
                <w:vertAlign w:val="superscript"/>
              </w:rPr>
              <w:t>Sc</w:t>
            </w:r>
          </w:p>
          <w:p w14:paraId="29AD78A8" w14:textId="1F3339E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R83I=K81</w:t>
            </w:r>
            <w:r w:rsidRPr="00B415EF">
              <w:rPr>
                <w:rFonts w:ascii="Times New Roman" w:hAnsi="Times New Roman" w:cs="Times New Roman"/>
                <w:sz w:val="18"/>
                <w:szCs w:val="18"/>
                <w:vertAlign w:val="superscript"/>
              </w:rPr>
              <w:t>Sc</w:t>
            </w:r>
          </w:p>
        </w:tc>
        <w:tc>
          <w:tcPr>
            <w:tcW w:w="8350" w:type="dxa"/>
          </w:tcPr>
          <w:p w14:paraId="7C4FEECB" w14:textId="77777777" w:rsidR="0059084B" w:rsidRPr="00B415EF" w:rsidRDefault="0059084B" w:rsidP="0059084B">
            <w:pPr>
              <w:pStyle w:val="ListParagraph"/>
              <w:numPr>
                <w:ilvl w:val="0"/>
                <w:numId w:val="12"/>
              </w:numPr>
              <w:rPr>
                <w:rFonts w:ascii="Times New Roman" w:hAnsi="Times New Roman" w:cs="Times New Roman"/>
                <w:sz w:val="18"/>
                <w:szCs w:val="18"/>
              </w:rPr>
            </w:pPr>
            <w:r w:rsidRPr="00B415EF">
              <w:rPr>
                <w:rFonts w:ascii="Times New Roman" w:hAnsi="Times New Roman" w:cs="Times New Roman"/>
                <w:sz w:val="18"/>
                <w:szCs w:val="18"/>
              </w:rPr>
              <w:t>R83I and K6E: embryonic lethality.</w:t>
            </w:r>
          </w:p>
          <w:p w14:paraId="2188E5B2" w14:textId="77777777" w:rsidR="0059084B" w:rsidRPr="00B415EF" w:rsidRDefault="0059084B" w:rsidP="0059084B">
            <w:pPr>
              <w:pStyle w:val="ListParagraph"/>
              <w:numPr>
                <w:ilvl w:val="0"/>
                <w:numId w:val="12"/>
              </w:numPr>
              <w:rPr>
                <w:rFonts w:ascii="Times New Roman" w:hAnsi="Times New Roman" w:cs="Times New Roman"/>
                <w:sz w:val="18"/>
                <w:szCs w:val="18"/>
              </w:rPr>
            </w:pPr>
            <w:r w:rsidRPr="00B415EF">
              <w:rPr>
                <w:rFonts w:ascii="Times New Roman" w:hAnsi="Times New Roman" w:cs="Times New Roman"/>
                <w:sz w:val="18"/>
                <w:szCs w:val="18"/>
              </w:rPr>
              <w:t>K22M: Mice were viable, but have partial embryonic lethality, growth defect and cancer predisposition.</w:t>
            </w:r>
          </w:p>
          <w:p w14:paraId="1BE0B28F" w14:textId="77777777" w:rsidR="0059084B" w:rsidRPr="00B415EF" w:rsidRDefault="0059084B" w:rsidP="0059084B">
            <w:pPr>
              <w:pStyle w:val="ListParagraph"/>
              <w:numPr>
                <w:ilvl w:val="0"/>
                <w:numId w:val="12"/>
              </w:numPr>
              <w:rPr>
                <w:rFonts w:ascii="Times New Roman" w:hAnsi="Times New Roman" w:cs="Times New Roman"/>
                <w:sz w:val="18"/>
                <w:szCs w:val="18"/>
              </w:rPr>
            </w:pPr>
            <w:r w:rsidRPr="00B415EF">
              <w:rPr>
                <w:rFonts w:ascii="Times New Roman" w:hAnsi="Times New Roman" w:cs="Times New Roman"/>
                <w:sz w:val="18"/>
                <w:szCs w:val="18"/>
              </w:rPr>
              <w:t>Cell culture derived from mutant mice showed increase spontaneous apoptosis which reduce chromosome stability. This mechanism lead to hematopoietic &amp; spermatogenic depletion in mice.</w:t>
            </w:r>
          </w:p>
          <w:p w14:paraId="6ACDAE8F" w14:textId="162EEA1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Shorten lifespan associated with progressive loss of cells; die within 3 </w:t>
            </w:r>
            <w:proofErr w:type="gramStart"/>
            <w:r w:rsidRPr="00B415EF">
              <w:rPr>
                <w:rFonts w:ascii="Times New Roman" w:hAnsi="Times New Roman" w:cs="Times New Roman"/>
                <w:sz w:val="18"/>
                <w:szCs w:val="18"/>
              </w:rPr>
              <w:t>month</w:t>
            </w:r>
            <w:proofErr w:type="gramEnd"/>
            <w:r w:rsidRPr="00B415EF">
              <w:rPr>
                <w:rFonts w:ascii="Times New Roman" w:hAnsi="Times New Roman" w:cs="Times New Roman"/>
                <w:sz w:val="18"/>
                <w:szCs w:val="18"/>
              </w:rPr>
              <w:t>.</w:t>
            </w:r>
          </w:p>
        </w:tc>
        <w:tc>
          <w:tcPr>
            <w:tcW w:w="1498" w:type="dxa"/>
          </w:tcPr>
          <w:p w14:paraId="5B39F999" w14:textId="0646F26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K6E</w:t>
            </w:r>
          </w:p>
          <w:p w14:paraId="5A294D0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K22M</w:t>
            </w:r>
          </w:p>
          <w:p w14:paraId="7D7DF03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R83I</w:t>
            </w:r>
          </w:p>
        </w:tc>
      </w:tr>
      <w:tr w:rsidR="0059084B" w:rsidRPr="00B415EF" w14:paraId="46863A9E" w14:textId="77777777" w:rsidTr="0059084B">
        <w:tc>
          <w:tcPr>
            <w:tcW w:w="1336" w:type="dxa"/>
          </w:tcPr>
          <w:p w14:paraId="3E750BDD" w14:textId="50D9FE21"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i/>
                <w:sz w:val="18"/>
                <w:szCs w:val="18"/>
              </w:rPr>
              <w:t>Deinococcus</w:t>
            </w:r>
            <w:proofErr w:type="spellEnd"/>
            <w:r w:rsidRPr="00B415EF">
              <w:rPr>
                <w:rFonts w:ascii="Times New Roman" w:hAnsi="Times New Roman" w:cs="Times New Roman"/>
                <w:i/>
                <w:sz w:val="18"/>
                <w:szCs w:val="18"/>
              </w:rPr>
              <w:t xml:space="preserve"> </w:t>
            </w:r>
            <w:proofErr w:type="spellStart"/>
            <w:r w:rsidRPr="00B415EF">
              <w:rPr>
                <w:rFonts w:ascii="Times New Roman" w:hAnsi="Times New Roman" w:cs="Times New Roman"/>
                <w:i/>
                <w:sz w:val="18"/>
                <w:szCs w:val="18"/>
              </w:rPr>
              <w:t>radiodurans</w:t>
            </w:r>
            <w:proofErr w:type="spellEnd"/>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{"citationItems":[{"id":"ITEM-1","itemData":{"DOI":"10.1038/sj.emboj.7601537","ISBN":"0261-4189 (Print)\\n0261-4189 (Linking)","ISSN":"0261-4189","PMID":"17255941","abstract":"RecF, together with RecO and RecR, belongs to a ubiquitous group of recombination mediators (RMs) that includes eukaryotic proteins such as Rad52 and BRCA2. RMs help maintain genome stability in the presence of DNA damage by loading RecA-like recombinases and displacing single-stranded DNA-binding proteins. Here, we present the crystal structure of RecF from Deinococcus radiodurans. RecF exhibits a high degree of structural similarity with the head domain of Rad50, but lacks its long coiled-coil region. The structural homology between RecF and Rad50 is extensive, encompassing the ATPase subdomain and the so-called 'Lobe II' subdomain of Rad50. The pronounced structural conservation between bacterial RecF and evolutionarily diverged eukaryotic Rad50 implies a conserved mechanism of DNA binding and recognition of the boundaries of double-stranded DNA regions. The RecF structure, mutagenesis of conserved motifs and ATP-dependent dimerization of RecF are discussed with respect to its role in promoting presynaptic complex formation at DNA damage sites.","author":[{"dropping-particle":"","family":"Koroleva","given":"Olga","non-dropping-particle":"","parse-names":false,"suffix":""},{"dropping-particle":"","family":"Makharashvili","given":"Nodar","non-dropping-particle":"","parse-names":false,"suffix":""},{"dropping-particle":"","family":"Courcelle","given":"Charmain T","non-dropping-particle":"","parse-names":false,"suffix":""},{"dropping-particle":"","family":"Courcelle","given":"Justin","non-dropping-particle":"","parse-names":false,"suffix":""},{"dropping-particle":"","family":"Korolev","given":"Sergey","non-dropping-particle":"","parse-names":false,"suffix":""}],"container-title":"The EMBO journal","id":"ITEM-1","issue":"3","issued":{"date-parts":[["2007"]]},"page":"867-77","title":"Structural conservation of RecF and Rad50: implications for DNA recognition and RecF function.","type":"article-journal","volume":"26"},"uris":["http://www.mendeley.com/documents/?uuid=9cf6841d-9c52-48a7-9fb5-55af749d88ab"]}],"mendeley":{"formattedCitation":"[5]","plainTextFormattedCitation":"[5]","previouslyFormattedCitation":"[5]"},"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[5]</w:t>
            </w:r>
            <w:r w:rsidRPr="00B415EF">
              <w:rPr>
                <w:rFonts w:ascii="Times New Roman" w:hAnsi="Times New Roman" w:cs="Times New Roman"/>
                <w:sz w:val="18"/>
                <w:szCs w:val="18"/>
              </w:rPr>
              <w:fldChar w:fldCharType="end"/>
            </w:r>
          </w:p>
        </w:tc>
        <w:tc>
          <w:tcPr>
            <w:tcW w:w="1494" w:type="dxa"/>
          </w:tcPr>
          <w:p w14:paraId="55AE200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A,</w:t>
            </w:r>
          </w:p>
          <w:p w14:paraId="140E9DC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B</w:t>
            </w:r>
          </w:p>
          <w:p w14:paraId="4EC99CE8" w14:textId="0FC8C0B4"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&amp; Signature motif</w:t>
            </w:r>
          </w:p>
        </w:tc>
        <w:tc>
          <w:tcPr>
            <w:tcW w:w="1634" w:type="dxa"/>
          </w:tcPr>
          <w:p w14:paraId="0B40BE2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K39R (WA)</w:t>
            </w:r>
          </w:p>
          <w:p w14:paraId="4DCC1F0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K39M (WA)</w:t>
            </w:r>
          </w:p>
          <w:p w14:paraId="2ACF6494" w14:textId="77777777" w:rsidR="0059084B" w:rsidRPr="00B415EF" w:rsidRDefault="0059084B" w:rsidP="0059084B">
            <w:pPr>
              <w:rPr>
                <w:rFonts w:ascii="Times New Roman" w:hAnsi="Times New Roman" w:cs="Times New Roman"/>
                <w:sz w:val="18"/>
                <w:szCs w:val="18"/>
              </w:rPr>
            </w:pPr>
          </w:p>
          <w:p w14:paraId="7152401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D303N (WB)</w:t>
            </w:r>
          </w:p>
          <w:p w14:paraId="7B722A7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S270R (SM)</w:t>
            </w:r>
          </w:p>
          <w:p w14:paraId="6E15750C" w14:textId="77777777" w:rsidR="0059084B" w:rsidRPr="00B415EF" w:rsidRDefault="0059084B" w:rsidP="0059084B">
            <w:pPr>
              <w:rPr>
                <w:rFonts w:ascii="Times New Roman" w:hAnsi="Times New Roman" w:cs="Times New Roman"/>
                <w:sz w:val="18"/>
                <w:szCs w:val="18"/>
              </w:rPr>
            </w:pPr>
          </w:p>
        </w:tc>
        <w:tc>
          <w:tcPr>
            <w:tcW w:w="8350" w:type="dxa"/>
          </w:tcPr>
          <w:p w14:paraId="20D69161" w14:textId="77777777" w:rsidR="0059084B" w:rsidRPr="00B415EF" w:rsidRDefault="0059084B" w:rsidP="0059084B">
            <w:pPr>
              <w:pStyle w:val="ListParagraph"/>
              <w:numPr>
                <w:ilvl w:val="0"/>
                <w:numId w:val="19"/>
              </w:numPr>
              <w:rPr>
                <w:rFonts w:ascii="Times New Roman" w:hAnsi="Times New Roman" w:cs="Times New Roman"/>
                <w:sz w:val="18"/>
                <w:szCs w:val="18"/>
              </w:rPr>
            </w:pPr>
            <w:r w:rsidRPr="00B415EF">
              <w:rPr>
                <w:rFonts w:ascii="Times New Roman" w:hAnsi="Times New Roman" w:cs="Times New Roman"/>
                <w:sz w:val="18"/>
                <w:szCs w:val="18"/>
              </w:rPr>
              <w:t>K39R=K36R</w:t>
            </w:r>
            <w:r w:rsidRPr="00B415EF">
              <w:rPr>
                <w:rFonts w:ascii="Times New Roman" w:hAnsi="Times New Roman" w:cs="Times New Roman"/>
                <w:sz w:val="18"/>
                <w:szCs w:val="18"/>
                <w:vertAlign w:val="superscript"/>
              </w:rPr>
              <w:t>E.coli</w:t>
            </w:r>
            <w:r w:rsidRPr="00B415EF">
              <w:rPr>
                <w:rFonts w:ascii="Times New Roman" w:hAnsi="Times New Roman" w:cs="Times New Roman"/>
                <w:sz w:val="18"/>
                <w:szCs w:val="18"/>
              </w:rPr>
              <w:t xml:space="preserve">: Mutation prevent ATP hydrolysis but not nucleotide binding. Shown to be critical for </w:t>
            </w:r>
            <w:proofErr w:type="spellStart"/>
            <w:r w:rsidRPr="00B415EF">
              <w:rPr>
                <w:rFonts w:ascii="Times New Roman" w:hAnsi="Times New Roman" w:cs="Times New Roman"/>
                <w:sz w:val="18"/>
                <w:szCs w:val="18"/>
              </w:rPr>
              <w:t>RecF</w:t>
            </w:r>
            <w:proofErr w:type="spellEnd"/>
            <w:r w:rsidRPr="00B415EF">
              <w:rPr>
                <w:rFonts w:ascii="Times New Roman" w:hAnsi="Times New Roman" w:cs="Times New Roman"/>
                <w:sz w:val="18"/>
                <w:szCs w:val="18"/>
              </w:rPr>
              <w:t xml:space="preserve"> function (Sander et al. 1992; Web et al. 1999).</w:t>
            </w:r>
          </w:p>
          <w:p w14:paraId="6293EBBC" w14:textId="77777777" w:rsidR="0059084B" w:rsidRPr="00B415EF" w:rsidRDefault="0059084B" w:rsidP="0059084B">
            <w:pPr>
              <w:pStyle w:val="ListParagraph"/>
              <w:numPr>
                <w:ilvl w:val="0"/>
                <w:numId w:val="19"/>
              </w:numPr>
              <w:rPr>
                <w:rFonts w:ascii="Times New Roman" w:hAnsi="Times New Roman" w:cs="Times New Roman"/>
                <w:sz w:val="18"/>
                <w:szCs w:val="18"/>
              </w:rPr>
            </w:pPr>
            <w:r w:rsidRPr="00B415EF">
              <w:rPr>
                <w:rFonts w:ascii="Times New Roman" w:hAnsi="Times New Roman" w:cs="Times New Roman"/>
                <w:sz w:val="18"/>
                <w:szCs w:val="18"/>
              </w:rPr>
              <w:t>K39R=K36M</w:t>
            </w:r>
            <w:r w:rsidRPr="00B415EF">
              <w:rPr>
                <w:rFonts w:ascii="Times New Roman" w:hAnsi="Times New Roman" w:cs="Times New Roman"/>
                <w:sz w:val="18"/>
                <w:szCs w:val="18"/>
                <w:vertAlign w:val="superscript"/>
              </w:rPr>
              <w:t>E.coli</w:t>
            </w:r>
            <w:r w:rsidRPr="00B415EF">
              <w:rPr>
                <w:rFonts w:ascii="Times New Roman" w:hAnsi="Times New Roman" w:cs="Times New Roman"/>
                <w:sz w:val="18"/>
                <w:szCs w:val="18"/>
              </w:rPr>
              <w:t>: Mutation prevent ATP binding.</w:t>
            </w:r>
          </w:p>
          <w:p w14:paraId="5FC77FA9" w14:textId="77777777" w:rsidR="0059084B" w:rsidRPr="00B415EF" w:rsidRDefault="0059084B" w:rsidP="0059084B">
            <w:pPr>
              <w:pStyle w:val="ListParagraph"/>
              <w:numPr>
                <w:ilvl w:val="0"/>
                <w:numId w:val="19"/>
              </w:numPr>
              <w:rPr>
                <w:rFonts w:ascii="Times New Roman" w:hAnsi="Times New Roman" w:cs="Times New Roman"/>
                <w:sz w:val="18"/>
                <w:szCs w:val="18"/>
              </w:rPr>
            </w:pPr>
            <w:r w:rsidRPr="00B415EF">
              <w:rPr>
                <w:rFonts w:ascii="Times New Roman" w:hAnsi="Times New Roman" w:cs="Times New Roman"/>
                <w:sz w:val="18"/>
                <w:szCs w:val="18"/>
              </w:rPr>
              <w:t>D303N: In other SMC proteins, this changes traps ATP in its transition state &amp; stabilized dimerization of the homodimer (Smith et al. 2002).</w:t>
            </w:r>
          </w:p>
          <w:p w14:paraId="14B1F968" w14:textId="0379539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S270R: Equivalent mutation </w:t>
            </w:r>
            <w:proofErr w:type="spellStart"/>
            <w:r w:rsidRPr="00B415EF">
              <w:rPr>
                <w:rFonts w:ascii="Times New Roman" w:hAnsi="Times New Roman" w:cs="Times New Roman"/>
                <w:sz w:val="18"/>
                <w:szCs w:val="18"/>
              </w:rPr>
              <w:t>interfers</w:t>
            </w:r>
            <w:proofErr w:type="spellEnd"/>
            <w:r w:rsidRPr="00B415EF">
              <w:rPr>
                <w:rFonts w:ascii="Times New Roman" w:hAnsi="Times New Roman" w:cs="Times New Roman"/>
                <w:sz w:val="18"/>
                <w:szCs w:val="18"/>
              </w:rPr>
              <w:t xml:space="preserve"> with ATP dependent dimerization (</w:t>
            </w:r>
            <w:proofErr w:type="spellStart"/>
            <w:r w:rsidRPr="00B415EF">
              <w:rPr>
                <w:rFonts w:ascii="Times New Roman" w:hAnsi="Times New Roman" w:cs="Times New Roman"/>
                <w:sz w:val="18"/>
                <w:szCs w:val="18"/>
              </w:rPr>
              <w:t>Moncalian</w:t>
            </w:r>
            <w:proofErr w:type="spellEnd"/>
            <w:r w:rsidRPr="00B415EF">
              <w:rPr>
                <w:rFonts w:ascii="Times New Roman" w:hAnsi="Times New Roman" w:cs="Times New Roman"/>
                <w:sz w:val="18"/>
                <w:szCs w:val="18"/>
              </w:rPr>
              <w:t xml:space="preserve"> et al. 2004),</w:t>
            </w:r>
          </w:p>
        </w:tc>
        <w:tc>
          <w:tcPr>
            <w:tcW w:w="1498" w:type="dxa"/>
          </w:tcPr>
          <w:p w14:paraId="2B54FF25" w14:textId="6FAE81A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K42R</w:t>
            </w:r>
          </w:p>
          <w:p w14:paraId="76CCEA7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K42M</w:t>
            </w:r>
          </w:p>
          <w:p w14:paraId="2E4B774D" w14:textId="77777777" w:rsidR="0059084B" w:rsidRPr="00B415EF" w:rsidRDefault="0059084B" w:rsidP="0059084B">
            <w:pPr>
              <w:rPr>
                <w:rFonts w:ascii="Times New Roman" w:hAnsi="Times New Roman" w:cs="Times New Roman"/>
                <w:sz w:val="18"/>
                <w:szCs w:val="18"/>
              </w:rPr>
            </w:pPr>
          </w:p>
          <w:p w14:paraId="202C94E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D1231N</w:t>
            </w:r>
          </w:p>
          <w:p w14:paraId="6959F44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tc>
      </w:tr>
      <w:tr w:rsidR="0059084B" w:rsidRPr="00B415EF" w14:paraId="7A095951" w14:textId="77777777" w:rsidTr="0059084B">
        <w:tc>
          <w:tcPr>
            <w:tcW w:w="1336" w:type="dxa"/>
          </w:tcPr>
          <w:p w14:paraId="04182987" w14:textId="23BAF6A3"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i/>
                <w:sz w:val="18"/>
                <w:szCs w:val="18"/>
              </w:rPr>
              <w:t>Thermotoga</w:t>
            </w:r>
            <w:proofErr w:type="spellEnd"/>
            <w:r w:rsidRPr="00B415EF">
              <w:rPr>
                <w:rFonts w:ascii="Times New Roman" w:hAnsi="Times New Roman" w:cs="Times New Roman"/>
                <w:i/>
                <w:sz w:val="18"/>
                <w:szCs w:val="18"/>
              </w:rPr>
              <w:t xml:space="preserve"> </w:t>
            </w:r>
            <w:proofErr w:type="spellStart"/>
            <w:r w:rsidRPr="00B415EF">
              <w:rPr>
                <w:rFonts w:ascii="Times New Roman" w:hAnsi="Times New Roman" w:cs="Times New Roman"/>
                <w:i/>
                <w:sz w:val="18"/>
                <w:szCs w:val="18"/>
              </w:rPr>
              <w:t>maritima</w:t>
            </w:r>
            <w:proofErr w:type="spellEnd"/>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{"citationItems":[{"id":"ITEM-1","itemData":{"DOI":"10.15252/embj.201488889","ISSN":"14602075","abstract":"The Mre11–Rad50 nuclease–ATPase is an evolutionarily conserved multifunctional DNA double-strand break (DSB) repair factor. Mre11–Rad50’s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author":[{"dropping-particle":"","family":"Rojowska","given":"Anna","non-dropping-particle":"","parse-names":false,"suffix":""},{"dropping-particle":"","family":"Lammens","given":"Katja","non-dropping-particle":"","parse-names":false,"suffix":""},{"dropping-particle":"","family":"Seifert","given":"Florian U","non-dropping-particle":"","parse-names":false,"suffix":""},{"dropping-particle":"","family":"Direnberger","given":"Carolin","non-dropping-particle":"","parse-names":false,"suffix":""},{"dropping-particle":"","family":"Feldmann","given":"Heidi","non-dropping-particle":"","parse-names":false,"suffix":""}],"container-title":"The EMBO journal","id":"ITEM-1","issue":"23","issued":{"date-parts":[["2014"]]},"page":"2847–2859","title":"Structure of the Rad 50 DNA double-strand break repair protein in complex with DNA","type":"article-journal","volume":"33"},"uris":["http://www.mendeley.com/documents/?uuid=f9e37b5b-e6e2-4a78-961d-dc1155001ff8"]}],"mendeley":{"formattedCitation":"[6]","plainTextFormattedCitation":"[6]","previouslyFormattedCitation":"[6]"},"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[6]</w:t>
            </w:r>
            <w:r w:rsidRPr="00B415EF">
              <w:rPr>
                <w:rFonts w:ascii="Times New Roman" w:hAnsi="Times New Roman" w:cs="Times New Roman"/>
                <w:sz w:val="18"/>
                <w:szCs w:val="18"/>
              </w:rPr>
              <w:fldChar w:fldCharType="end"/>
            </w:r>
          </w:p>
          <w:p w14:paraId="2DFDC1CD" w14:textId="77777777" w:rsidR="0059084B" w:rsidRPr="00B415EF" w:rsidRDefault="0059084B" w:rsidP="0059084B">
            <w:pPr>
              <w:rPr>
                <w:rFonts w:ascii="Times New Roman" w:hAnsi="Times New Roman" w:cs="Times New Roman"/>
                <w:sz w:val="18"/>
                <w:szCs w:val="18"/>
              </w:rPr>
            </w:pPr>
          </w:p>
          <w:p w14:paraId="7B009592" w14:textId="77777777" w:rsidR="0059084B" w:rsidRPr="00B415EF" w:rsidRDefault="0059084B" w:rsidP="0059084B">
            <w:pPr>
              <w:rPr>
                <w:rFonts w:ascii="Times New Roman" w:hAnsi="Times New Roman" w:cs="Times New Roman"/>
                <w:sz w:val="18"/>
                <w:szCs w:val="18"/>
              </w:rPr>
            </w:pPr>
          </w:p>
          <w:p w14:paraId="6076FE28" w14:textId="77777777" w:rsidR="0059084B" w:rsidRPr="00B415EF" w:rsidRDefault="0059084B" w:rsidP="0059084B">
            <w:pPr>
              <w:rPr>
                <w:rFonts w:ascii="Times New Roman" w:hAnsi="Times New Roman" w:cs="Times New Roman"/>
                <w:sz w:val="18"/>
                <w:szCs w:val="18"/>
              </w:rPr>
            </w:pPr>
          </w:p>
          <w:p w14:paraId="50012D5B" w14:textId="77777777" w:rsidR="0059084B" w:rsidRPr="00B415EF" w:rsidRDefault="0059084B" w:rsidP="0059084B">
            <w:pPr>
              <w:rPr>
                <w:rFonts w:ascii="Times New Roman" w:hAnsi="Times New Roman" w:cs="Times New Roman"/>
                <w:sz w:val="18"/>
                <w:szCs w:val="18"/>
              </w:rPr>
            </w:pPr>
          </w:p>
          <w:p w14:paraId="5835DA51" w14:textId="77777777" w:rsidR="0059084B" w:rsidRPr="00B415EF" w:rsidRDefault="0059084B" w:rsidP="0059084B">
            <w:pPr>
              <w:rPr>
                <w:rFonts w:ascii="Times New Roman" w:hAnsi="Times New Roman" w:cs="Times New Roman"/>
                <w:sz w:val="18"/>
                <w:szCs w:val="18"/>
              </w:rPr>
            </w:pPr>
          </w:p>
          <w:p w14:paraId="25054299" w14:textId="77777777" w:rsidR="0059084B" w:rsidRPr="00B415EF" w:rsidRDefault="0059084B" w:rsidP="0059084B">
            <w:pPr>
              <w:rPr>
                <w:rFonts w:ascii="Times New Roman" w:hAnsi="Times New Roman" w:cs="Times New Roman"/>
                <w:sz w:val="18"/>
                <w:szCs w:val="18"/>
              </w:rPr>
            </w:pPr>
          </w:p>
          <w:p w14:paraId="55D8B402" w14:textId="77777777" w:rsidR="0059084B" w:rsidRPr="00B415EF" w:rsidRDefault="0059084B" w:rsidP="0059084B">
            <w:pPr>
              <w:rPr>
                <w:rFonts w:ascii="Times New Roman" w:hAnsi="Times New Roman" w:cs="Times New Roman"/>
                <w:sz w:val="18"/>
                <w:szCs w:val="18"/>
              </w:rPr>
            </w:pPr>
          </w:p>
          <w:p w14:paraId="757E950D" w14:textId="77777777" w:rsidR="0059084B" w:rsidRPr="00B415EF" w:rsidRDefault="0059084B" w:rsidP="0059084B">
            <w:pPr>
              <w:rPr>
                <w:rFonts w:ascii="Times New Roman" w:hAnsi="Times New Roman" w:cs="Times New Roman"/>
                <w:i/>
                <w:sz w:val="18"/>
                <w:szCs w:val="18"/>
              </w:rPr>
            </w:pPr>
            <w:r w:rsidRPr="00B415EF">
              <w:rPr>
                <w:rFonts w:ascii="Times New Roman" w:hAnsi="Times New Roman" w:cs="Times New Roman"/>
                <w:i/>
                <w:sz w:val="18"/>
                <w:szCs w:val="18"/>
              </w:rPr>
              <w:t>Saccharomyces cerevisiae</w:t>
            </w:r>
          </w:p>
        </w:tc>
        <w:tc>
          <w:tcPr>
            <w:tcW w:w="1494" w:type="dxa"/>
          </w:tcPr>
          <w:p w14:paraId="23957D3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ATPase binding domain</w:t>
            </w:r>
          </w:p>
          <w:p w14:paraId="38F0F62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&amp;</w:t>
            </w:r>
          </w:p>
          <w:p w14:paraId="0F1F195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Walker B (WB)</w:t>
            </w:r>
          </w:p>
          <w:p w14:paraId="371C182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&amp;</w:t>
            </w:r>
          </w:p>
          <w:p w14:paraId="27ECDA8B" w14:textId="4BD6E86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 (SM)</w:t>
            </w:r>
          </w:p>
        </w:tc>
        <w:tc>
          <w:tcPr>
            <w:tcW w:w="1634" w:type="dxa"/>
          </w:tcPr>
          <w:p w14:paraId="65D31AC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K115E</w:t>
            </w:r>
          </w:p>
          <w:p w14:paraId="6EB7032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K175E</w:t>
            </w:r>
          </w:p>
          <w:p w14:paraId="7E00FE9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K182E</w:t>
            </w:r>
          </w:p>
          <w:p w14:paraId="0733671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R94E</w:t>
            </w:r>
          </w:p>
          <w:p w14:paraId="5A06591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K95E</w:t>
            </w:r>
          </w:p>
          <w:p w14:paraId="40946D4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R765E</w:t>
            </w:r>
          </w:p>
          <w:p w14:paraId="1930C67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E798Q (WB)</w:t>
            </w:r>
          </w:p>
          <w:p w14:paraId="7F3A60E6" w14:textId="77777777" w:rsidR="0059084B" w:rsidRPr="00B415EF" w:rsidRDefault="0059084B" w:rsidP="0059084B">
            <w:pPr>
              <w:rPr>
                <w:rFonts w:ascii="Times New Roman" w:hAnsi="Times New Roman" w:cs="Times New Roman"/>
                <w:color w:val="FF0000"/>
                <w:sz w:val="18"/>
                <w:szCs w:val="18"/>
              </w:rPr>
            </w:pPr>
            <w:r w:rsidRPr="00B415EF">
              <w:rPr>
                <w:rFonts w:ascii="Times New Roman" w:hAnsi="Times New Roman" w:cs="Times New Roman"/>
                <w:sz w:val="18"/>
                <w:szCs w:val="18"/>
              </w:rPr>
              <w:t>S768R (SM)</w:t>
            </w:r>
          </w:p>
          <w:p w14:paraId="7DA4550E" w14:textId="77777777" w:rsidR="0059084B" w:rsidRPr="00B415EF" w:rsidRDefault="0059084B" w:rsidP="0059084B">
            <w:pPr>
              <w:rPr>
                <w:rFonts w:ascii="Times New Roman" w:hAnsi="Times New Roman" w:cs="Times New Roman"/>
                <w:color w:val="FF0000"/>
                <w:sz w:val="18"/>
                <w:szCs w:val="18"/>
              </w:rPr>
            </w:pPr>
          </w:p>
          <w:p w14:paraId="246003E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K99E</w:t>
            </w:r>
          </w:p>
          <w:p w14:paraId="1281AA1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K108E</w:t>
            </w:r>
          </w:p>
          <w:p w14:paraId="136684D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K109E</w:t>
            </w:r>
          </w:p>
          <w:p w14:paraId="5F0372E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K110E</w:t>
            </w:r>
          </w:p>
          <w:p w14:paraId="225B6A8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R125E</w:t>
            </w:r>
          </w:p>
          <w:p w14:paraId="28134EE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K103E</w:t>
            </w:r>
          </w:p>
          <w:p w14:paraId="07C6F02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K104E</w:t>
            </w:r>
          </w:p>
          <w:p w14:paraId="75F7C1C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R131E</w:t>
            </w:r>
          </w:p>
          <w:p w14:paraId="3CD2300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R1201E</w:t>
            </w:r>
          </w:p>
          <w:p w14:paraId="66889D7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N190D</w:t>
            </w:r>
          </w:p>
          <w:p w14:paraId="220D7E7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S1205E+E1235Q</w:t>
            </w:r>
          </w:p>
          <w:p w14:paraId="2EA9113D" w14:textId="77777777" w:rsidR="0059084B" w:rsidRPr="00B415EF" w:rsidRDefault="0059084B" w:rsidP="0059084B">
            <w:pPr>
              <w:rPr>
                <w:rFonts w:ascii="Times New Roman" w:hAnsi="Times New Roman" w:cs="Times New Roman"/>
                <w:sz w:val="18"/>
                <w:szCs w:val="18"/>
              </w:rPr>
            </w:pPr>
          </w:p>
        </w:tc>
        <w:tc>
          <w:tcPr>
            <w:tcW w:w="8350" w:type="dxa"/>
          </w:tcPr>
          <w:p w14:paraId="608939A6" w14:textId="77777777" w:rsidR="0059084B" w:rsidRPr="00B415EF" w:rsidRDefault="0059084B" w:rsidP="0059084B">
            <w:pPr>
              <w:pStyle w:val="ListParagraph"/>
              <w:ind w:left="360"/>
              <w:rPr>
                <w:rFonts w:ascii="Times New Roman" w:hAnsi="Times New Roman" w:cs="Times New Roman"/>
                <w:b/>
                <w:i/>
                <w:sz w:val="18"/>
                <w:szCs w:val="18"/>
              </w:rPr>
            </w:pPr>
            <w:r w:rsidRPr="00B415EF">
              <w:rPr>
                <w:rFonts w:ascii="Times New Roman" w:hAnsi="Times New Roman" w:cs="Times New Roman"/>
                <w:b/>
                <w:i/>
                <w:sz w:val="18"/>
                <w:szCs w:val="18"/>
              </w:rPr>
              <w:lastRenderedPageBreak/>
              <w:t xml:space="preserve">In vitro: </w:t>
            </w:r>
            <w:proofErr w:type="spellStart"/>
            <w:r w:rsidRPr="00B415EF">
              <w:rPr>
                <w:rFonts w:ascii="Times New Roman" w:hAnsi="Times New Roman" w:cs="Times New Roman"/>
                <w:b/>
                <w:i/>
                <w:sz w:val="18"/>
                <w:szCs w:val="18"/>
              </w:rPr>
              <w:t>Thermotoga</w:t>
            </w:r>
            <w:proofErr w:type="spellEnd"/>
            <w:r w:rsidRPr="00B415EF">
              <w:rPr>
                <w:rFonts w:ascii="Times New Roman" w:hAnsi="Times New Roman" w:cs="Times New Roman"/>
                <w:b/>
                <w:i/>
                <w:sz w:val="18"/>
                <w:szCs w:val="18"/>
              </w:rPr>
              <w:t xml:space="preserve"> </w:t>
            </w:r>
            <w:proofErr w:type="spellStart"/>
            <w:r w:rsidRPr="00B415EF">
              <w:rPr>
                <w:rFonts w:ascii="Times New Roman" w:hAnsi="Times New Roman" w:cs="Times New Roman"/>
                <w:b/>
                <w:i/>
                <w:sz w:val="18"/>
                <w:szCs w:val="18"/>
              </w:rPr>
              <w:t>maritima</w:t>
            </w:r>
            <w:proofErr w:type="spellEnd"/>
          </w:p>
          <w:p w14:paraId="0B757511"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lastRenderedPageBreak/>
              <w:t>Coiled-coil: K175E, K182E; substantially reduced DNA binding, but K115E almost abolish DNA interaction in vitro.</w:t>
            </w:r>
          </w:p>
          <w:p w14:paraId="3418C5E6"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R94E &amp; K95E: Important for DNA binding.</w:t>
            </w:r>
          </w:p>
          <w:p w14:paraId="356CCF4A"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R765E: Significantly diminished DNA binding without affecting dimer formation in vitro.</w:t>
            </w:r>
          </w:p>
          <w:p w14:paraId="2A590F58"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E798Q: Showed strong DNA binding in the present of ATP and slightly low affinity to DNA compared to WT in the presence of AMPPNP.</w:t>
            </w:r>
          </w:p>
          <w:p w14:paraId="35AE650E"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S768R: Significantly reduced DNA binding in the presence of AMPPNP.</w:t>
            </w:r>
          </w:p>
          <w:p w14:paraId="7E67ABDD" w14:textId="77777777" w:rsidR="0059084B" w:rsidRPr="00B415EF" w:rsidRDefault="0059084B" w:rsidP="0059084B">
            <w:pPr>
              <w:ind w:left="360"/>
              <w:rPr>
                <w:rFonts w:ascii="Times New Roman" w:hAnsi="Times New Roman" w:cs="Times New Roman"/>
                <w:b/>
                <w:i/>
                <w:sz w:val="18"/>
                <w:szCs w:val="18"/>
              </w:rPr>
            </w:pPr>
            <w:r w:rsidRPr="00B415EF">
              <w:rPr>
                <w:rFonts w:ascii="Times New Roman" w:hAnsi="Times New Roman" w:cs="Times New Roman"/>
                <w:b/>
                <w:i/>
                <w:sz w:val="18"/>
                <w:szCs w:val="18"/>
              </w:rPr>
              <w:t>In vivo:</w:t>
            </w:r>
            <w:r w:rsidRPr="00B415EF">
              <w:t xml:space="preserve"> </w:t>
            </w:r>
            <w:r w:rsidRPr="00B415EF">
              <w:rPr>
                <w:rFonts w:ascii="Times New Roman" w:hAnsi="Times New Roman" w:cs="Times New Roman"/>
                <w:b/>
                <w:i/>
                <w:sz w:val="18"/>
                <w:szCs w:val="18"/>
              </w:rPr>
              <w:t>Saccharomyces cerevisiae</w:t>
            </w:r>
          </w:p>
          <w:p w14:paraId="6A393F0F"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S1205R (SM)+E1235Q (WB): unable to rescue the impaired DNA damage response; showed importance function of ATP binding &amp; ATP hydrolysis in the double strand break (DSB) repair activity.</w:t>
            </w:r>
          </w:p>
          <w:p w14:paraId="3135135E"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 xml:space="preserve">K103E, K104E &amp; R131E: Strongly affected DNA binding in vitro but little influence on the DSB repair </w:t>
            </w:r>
            <w:proofErr w:type="spellStart"/>
            <w:r w:rsidRPr="00B415EF">
              <w:rPr>
                <w:rFonts w:ascii="Times New Roman" w:hAnsi="Times New Roman" w:cs="Times New Roman"/>
                <w:sz w:val="18"/>
                <w:szCs w:val="18"/>
              </w:rPr>
              <w:t>fx</w:t>
            </w:r>
            <w:proofErr w:type="spellEnd"/>
            <w:r w:rsidRPr="00B415EF">
              <w:rPr>
                <w:rFonts w:ascii="Times New Roman" w:hAnsi="Times New Roman" w:cs="Times New Roman"/>
                <w:sz w:val="18"/>
                <w:szCs w:val="18"/>
              </w:rPr>
              <w:t>. in vivo.</w:t>
            </w:r>
          </w:p>
          <w:p w14:paraId="5C34CCB9"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 xml:space="preserve">K110E &amp; R125E: Insignificant reduction in </w:t>
            </w:r>
            <w:proofErr w:type="spellStart"/>
            <w:r w:rsidRPr="00B415EF">
              <w:rPr>
                <w:rFonts w:ascii="Times New Roman" w:hAnsi="Times New Roman" w:cs="Times New Roman"/>
                <w:sz w:val="18"/>
                <w:szCs w:val="18"/>
              </w:rPr>
              <w:t>plasmic</w:t>
            </w:r>
            <w:proofErr w:type="spellEnd"/>
            <w:r w:rsidRPr="00B415EF">
              <w:rPr>
                <w:rFonts w:ascii="Times New Roman" w:hAnsi="Times New Roman" w:cs="Times New Roman"/>
                <w:sz w:val="18"/>
                <w:szCs w:val="18"/>
              </w:rPr>
              <w:t xml:space="preserve"> recovery; do not involved in end </w:t>
            </w:r>
            <w:proofErr w:type="spellStart"/>
            <w:r w:rsidRPr="00B415EF">
              <w:rPr>
                <w:rFonts w:ascii="Times New Roman" w:hAnsi="Times New Roman" w:cs="Times New Roman"/>
                <w:sz w:val="18"/>
                <w:szCs w:val="18"/>
              </w:rPr>
              <w:t>joning</w:t>
            </w:r>
            <w:proofErr w:type="spellEnd"/>
            <w:r w:rsidRPr="00B415EF">
              <w:rPr>
                <w:rFonts w:ascii="Times New Roman" w:hAnsi="Times New Roman" w:cs="Times New Roman"/>
                <w:sz w:val="18"/>
                <w:szCs w:val="18"/>
              </w:rPr>
              <w:t xml:space="preserve"> process.</w:t>
            </w:r>
          </w:p>
          <w:p w14:paraId="709EAB4C"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K103E, K104E &amp; R131E: Moderate reduction in telomere length.</w:t>
            </w:r>
          </w:p>
          <w:p w14:paraId="121E7780"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 xml:space="preserve">K103E+R131R &amp; R1201E: Significantly reduced telomere length. </w:t>
            </w:r>
          </w:p>
          <w:p w14:paraId="35DB2AC3"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 xml:space="preserve">S1205R: Significantly reduced telomere length. </w:t>
            </w:r>
          </w:p>
          <w:p w14:paraId="34045CB2" w14:textId="77777777" w:rsidR="0059084B" w:rsidRPr="00B415EF" w:rsidRDefault="0059084B" w:rsidP="0059084B">
            <w:pPr>
              <w:pStyle w:val="ListParagraph"/>
              <w:numPr>
                <w:ilvl w:val="0"/>
                <w:numId w:val="13"/>
              </w:numPr>
              <w:rPr>
                <w:rFonts w:ascii="Times New Roman" w:hAnsi="Times New Roman" w:cs="Times New Roman"/>
                <w:sz w:val="18"/>
                <w:szCs w:val="18"/>
              </w:rPr>
            </w:pPr>
            <w:r w:rsidRPr="00B415EF">
              <w:rPr>
                <w:rFonts w:ascii="Times New Roman" w:hAnsi="Times New Roman" w:cs="Times New Roman"/>
                <w:sz w:val="18"/>
                <w:szCs w:val="18"/>
              </w:rPr>
              <w:t>E1235Q: Fully proficient in telomere maintenance.</w:t>
            </w:r>
          </w:p>
          <w:p w14:paraId="162314DB" w14:textId="2664FB0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N190D: No effect on telomere</w:t>
            </w:r>
          </w:p>
        </w:tc>
        <w:tc>
          <w:tcPr>
            <w:tcW w:w="1498" w:type="dxa"/>
          </w:tcPr>
          <w:p w14:paraId="14291C3F" w14:textId="0AB9D4BD"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K132E</w:t>
            </w:r>
          </w:p>
          <w:p w14:paraId="082D4E9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T191E</w:t>
            </w:r>
          </w:p>
          <w:p w14:paraId="4D2BD48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C221E</w:t>
            </w:r>
          </w:p>
          <w:p w14:paraId="2586618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K105E</w:t>
            </w:r>
          </w:p>
          <w:p w14:paraId="2F57F08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S106E</w:t>
            </w:r>
          </w:p>
          <w:p w14:paraId="5BB424C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G1199E</w:t>
            </w:r>
          </w:p>
          <w:p w14:paraId="28F3615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E1232Q</w:t>
            </w:r>
          </w:p>
          <w:p w14:paraId="1BEA6DA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p w14:paraId="0B7C41E2" w14:textId="77777777" w:rsidR="0059084B" w:rsidRPr="00B415EF" w:rsidRDefault="0059084B" w:rsidP="0059084B">
            <w:pPr>
              <w:rPr>
                <w:rFonts w:ascii="Times New Roman" w:hAnsi="Times New Roman" w:cs="Times New Roman"/>
                <w:sz w:val="18"/>
                <w:szCs w:val="18"/>
              </w:rPr>
            </w:pPr>
          </w:p>
          <w:p w14:paraId="38F83BC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E110K</w:t>
            </w:r>
          </w:p>
          <w:p w14:paraId="26199EA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E126K</w:t>
            </w:r>
          </w:p>
          <w:p w14:paraId="3FE92FD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K127E</w:t>
            </w:r>
          </w:p>
          <w:p w14:paraId="6FDCE82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K122E</w:t>
            </w:r>
          </w:p>
          <w:p w14:paraId="08C3F27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K126E</w:t>
            </w:r>
          </w:p>
          <w:p w14:paraId="6039C3A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K105E</w:t>
            </w:r>
          </w:p>
          <w:p w14:paraId="2312CFC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S106E</w:t>
            </w:r>
          </w:p>
          <w:p w14:paraId="23B8F7E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K132E</w:t>
            </w:r>
          </w:p>
          <w:p w14:paraId="0A0B3C2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R1198E</w:t>
            </w:r>
          </w:p>
          <w:p w14:paraId="6C0E5DF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T191D</w:t>
            </w:r>
          </w:p>
          <w:p w14:paraId="7E38558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S1202R+E1232Q</w:t>
            </w:r>
          </w:p>
        </w:tc>
      </w:tr>
      <w:tr w:rsidR="0059084B" w:rsidRPr="00B415EF" w14:paraId="1147FCCE" w14:textId="77777777" w:rsidTr="0059084B">
        <w:tc>
          <w:tcPr>
            <w:tcW w:w="1336" w:type="dxa"/>
          </w:tcPr>
          <w:p w14:paraId="6B70EB1E" w14:textId="3AC8A0CB"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lastRenderedPageBreak/>
              <w:t xml:space="preserve">Mus </w:t>
            </w:r>
            <w:proofErr w:type="spellStart"/>
            <w:r w:rsidRPr="00B415EF">
              <w:rPr>
                <w:rFonts w:ascii="Times New Roman" w:hAnsi="Times New Roman" w:cs="Times New Roman"/>
                <w:i/>
                <w:sz w:val="18"/>
                <w:szCs w:val="18"/>
              </w:rPr>
              <w:t>musclulus</w:t>
            </w:r>
            <w:proofErr w:type="spellEnd"/>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{"citationItems":[{"id":"ITEM-1","itemData":{"DOI":"10.15252/embj.201488889","ISSN":"14602075","abstract":"The Mre11–Rad50 nuclease–ATPase is an evolutionarily conserved multifunctional DNA double-strand break (DSB) repair factor. Mre11–Rad50’s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author":[{"dropping-particle":"","family":"Rojowska","given":"Anna","non-dropping-particle":"","parse-names":false,"suffix":""},{"dropping-particle":"","family":"Lammens","given":"Katja","non-dropping-particle":"","parse-names":false,"suffix":""},{"dropping-particle":"","family":"Seifert","given":"Florian U","non-dropping-particle":"","parse-names":false,"suffix":""},{"dropping-particle":"","family":"Direnberger","given":"Carolin","non-dropping-particle":"","parse-names":false,"suffix":""},{"dropping-particle":"","family":"Feldmann","given":"Heidi","non-dropping-particle":"","parse-names":false,"suffix":""}],"container-title":"The EMBO journal","id":"ITEM-1","issue":"23","issued":{"date-parts":[["2014"]]},"page":"2847–2859","title":"Structure of the Rad 50 DNA double-strand break repair protein in complex with DNA","type":"article-journal","volume":"33"},"uris":["http://www.mendeley.com/documents/?uuid=f9e37b5b-e6e2-4a78-961d-dc1155001ff8"]}],"mendeley":{"formattedCitation":"[6]","plainTextFormattedCitation":"[6]","previouslyFormattedCitation":"[6]"},"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[7]</w:t>
            </w:r>
            <w:r w:rsidRPr="00B415EF">
              <w:rPr>
                <w:rFonts w:ascii="Times New Roman" w:hAnsi="Times New Roman" w:cs="Times New Roman"/>
                <w:sz w:val="18"/>
                <w:szCs w:val="18"/>
              </w:rPr>
              <w:fldChar w:fldCharType="end"/>
            </w:r>
          </w:p>
        </w:tc>
        <w:tc>
          <w:tcPr>
            <w:tcW w:w="1494" w:type="dxa"/>
          </w:tcPr>
          <w:p w14:paraId="509A85DB" w14:textId="0E9DC02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Zinc hook</w:t>
            </w:r>
          </w:p>
        </w:tc>
        <w:tc>
          <w:tcPr>
            <w:tcW w:w="1634" w:type="dxa"/>
          </w:tcPr>
          <w:p w14:paraId="7AB8DFA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S679R</w:t>
            </w:r>
          </w:p>
          <w:p w14:paraId="2169471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P682E</w:t>
            </w:r>
          </w:p>
          <w:p w14:paraId="582C1AA1" w14:textId="5ED8F80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V683R</w:t>
            </w:r>
          </w:p>
        </w:tc>
        <w:tc>
          <w:tcPr>
            <w:tcW w:w="8350" w:type="dxa"/>
          </w:tcPr>
          <w:p w14:paraId="0AFFC1CC" w14:textId="77777777" w:rsidR="0059084B" w:rsidRPr="00B415EF" w:rsidRDefault="0059084B" w:rsidP="0059084B">
            <w:pPr>
              <w:pStyle w:val="ListParagraph"/>
              <w:numPr>
                <w:ilvl w:val="0"/>
                <w:numId w:val="24"/>
              </w:numPr>
              <w:rPr>
                <w:rFonts w:ascii="Times New Roman" w:hAnsi="Times New Roman" w:cs="Times New Roman"/>
                <w:sz w:val="18"/>
                <w:szCs w:val="18"/>
              </w:rPr>
            </w:pPr>
            <w:r w:rsidRPr="00B415EF">
              <w:rPr>
                <w:rFonts w:ascii="Times New Roman" w:hAnsi="Times New Roman" w:cs="Times New Roman"/>
                <w:sz w:val="18"/>
                <w:szCs w:val="18"/>
              </w:rPr>
              <w:t xml:space="preserve">Double mutation S679R and P682E showed reduced zinc affinity and dimerization efficiency. Also showed lethality in mice. Same finding for V683R. Crossbreed with WT showed hydrocephalus, defects in primitive </w:t>
            </w:r>
            <w:bookmarkStart w:id="4" w:name="_Hlk514491608"/>
            <w:r w:rsidRPr="00B415EF">
              <w:rPr>
                <w:rFonts w:ascii="Times New Roman" w:hAnsi="Times New Roman" w:cs="Times New Roman"/>
                <w:sz w:val="18"/>
                <w:szCs w:val="18"/>
              </w:rPr>
              <w:t>hematopoietic</w:t>
            </w:r>
            <w:bookmarkEnd w:id="4"/>
            <w:r w:rsidRPr="00B415EF">
              <w:rPr>
                <w:rFonts w:ascii="Times New Roman" w:hAnsi="Times New Roman" w:cs="Times New Roman"/>
                <w:sz w:val="18"/>
                <w:szCs w:val="18"/>
              </w:rPr>
              <w:t xml:space="preserve"> &amp; gametogenic cells. </w:t>
            </w:r>
          </w:p>
          <w:p w14:paraId="6E457FB7" w14:textId="10BA58B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Therefore, this hook domain strongly influences Mre11 complex dependent DDR </w:t>
            </w:r>
            <w:proofErr w:type="spellStart"/>
            <w:r w:rsidRPr="00B415EF">
              <w:rPr>
                <w:rFonts w:ascii="Times New Roman" w:hAnsi="Times New Roman" w:cs="Times New Roman"/>
                <w:sz w:val="18"/>
                <w:szCs w:val="18"/>
              </w:rPr>
              <w:t>signaling</w:t>
            </w:r>
            <w:proofErr w:type="spellEnd"/>
            <w:r w:rsidRPr="00B415EF">
              <w:rPr>
                <w:rFonts w:ascii="Times New Roman" w:hAnsi="Times New Roman" w:cs="Times New Roman"/>
                <w:sz w:val="18"/>
                <w:szCs w:val="18"/>
              </w:rPr>
              <w:t>, tissue homeostasis and tumorigenesis.</w:t>
            </w:r>
          </w:p>
        </w:tc>
        <w:tc>
          <w:tcPr>
            <w:tcW w:w="1498" w:type="dxa"/>
          </w:tcPr>
          <w:p w14:paraId="65F8CF1D" w14:textId="5AE3BFE4"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S679R</w:t>
            </w:r>
          </w:p>
          <w:p w14:paraId="152E770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P682E</w:t>
            </w:r>
          </w:p>
          <w:p w14:paraId="329A470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V683R</w:t>
            </w:r>
          </w:p>
        </w:tc>
      </w:tr>
      <w:tr w:rsidR="0059084B" w:rsidRPr="00B415EF" w14:paraId="3C021D0C" w14:textId="77777777" w:rsidTr="0059084B">
        <w:tc>
          <w:tcPr>
            <w:tcW w:w="1336" w:type="dxa"/>
          </w:tcPr>
          <w:p w14:paraId="110F8EF0" w14:textId="1DFCF52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Homo sapiens</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{"citationItems":[{"id":"ITEM-1","itemData":{"DOI":"10.1093/mutage/gem011","ISBN":"0267-8357 (Print)\\r0267-8357 (Linking)","ISSN":"02678357","PMID":"17426050","abstract":"The Mre11 complex (Mre11-Rad50-Nbs1) is involved in a diverse array of DNA metabolic processes including the response to DNA double-strand breaks (DSBs). The structure of Rad50 plays a key role in the DNA-binding and end-bridging activity of the complex. An interesting feature within the central portion of the Rad50 protein is the Rad50 hook region that is defined by the highly conserved CXXC motif. The structure of the Pyrococcus furiosus Rad50 hook region revealed an intermolecular dimerization of Rad50 through the coordination of a zinc ion by the four cysteines. Biochemical and genetic analysis in Saccharomyces cerevisiae have shown that mutations in the conserved cysteines impact all functions of the Mre11 complex including interaction with Mre11, increased sensitivity to DSB inducing agents, telomere maintenance and intrachromosomal association. Mutations in the yeast hook domain can lead to increased chromosome fragmentation, suggesting that the hook domain of Rad50 is essential for the tethering of chromosome ends. In this study, we have examined the effects of mutating the key cysteine residues in the hook domain of human Rad50 (hRad50), focusing on the interactions Rad50 has with itself, Mre11 and DNA. Our results reveal that mutation of the conserved cysteine residues abrogates dimerization at the hook domain in hRad50; however, disrupting dimerization at this domain does not appear to impair the interaction of full-length hRad50 with itself and hMre11 or affect DNA-binding activity of the hMre11-Rad50 complex.","author":[{"dropping-particle":"","family":"Cahill","given":"Dana","non-dropping-particle":"","parse-names":false,"suffix":""},{"dropping-particle":"","family":"Carney","given":"James P.","non-dropping-particle":"","parse-names":false,"suffix":""}],"container-title":"Mutagenesis","id":"ITEM-1","issue":"4","issued":{"date-parts":[["2007"]]},"page":"269-274","title":"Dimerization of the Rad50 protein is independent of the conserved hook domain","type":"article-journal","volume":"22"},"uris":["http://www.mendeley.com/documents/?uuid=1b7cd767-045d-4e9b-86ec-d0ab992678da"]}],"mendeley":{"formattedCitation":"[8]","plainTextFormattedCitation":"[8]","previouslyFormattedCitation":"[8]"},"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[8]</w:t>
            </w:r>
            <w:r w:rsidRPr="00B415EF">
              <w:rPr>
                <w:rFonts w:ascii="Times New Roman" w:hAnsi="Times New Roman" w:cs="Times New Roman"/>
                <w:sz w:val="18"/>
                <w:szCs w:val="18"/>
              </w:rPr>
              <w:fldChar w:fldCharType="end"/>
            </w:r>
          </w:p>
        </w:tc>
        <w:tc>
          <w:tcPr>
            <w:tcW w:w="1494" w:type="dxa"/>
          </w:tcPr>
          <w:p w14:paraId="5AF1C2B7" w14:textId="54E0AB99"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Zinc hook</w:t>
            </w:r>
          </w:p>
        </w:tc>
        <w:tc>
          <w:tcPr>
            <w:tcW w:w="1634" w:type="dxa"/>
          </w:tcPr>
          <w:p w14:paraId="44AFE0A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C680G</w:t>
            </w:r>
          </w:p>
          <w:p w14:paraId="2A499A9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C681G</w:t>
            </w:r>
          </w:p>
          <w:p w14:paraId="64BD6B3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C684G</w:t>
            </w:r>
          </w:p>
          <w:p w14:paraId="51C7630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R686A</w:t>
            </w:r>
          </w:p>
          <w:p w14:paraId="692E6D3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C681G+C684G</w:t>
            </w:r>
          </w:p>
          <w:p w14:paraId="3520ABE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C680G+C681G+</w:t>
            </w:r>
          </w:p>
          <w:p w14:paraId="25F4F2FD" w14:textId="416E827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C684G</w:t>
            </w:r>
          </w:p>
        </w:tc>
        <w:tc>
          <w:tcPr>
            <w:tcW w:w="8350" w:type="dxa"/>
          </w:tcPr>
          <w:p w14:paraId="57E9773C" w14:textId="77777777" w:rsidR="0059084B" w:rsidRPr="00B415EF" w:rsidRDefault="0059084B" w:rsidP="0059084B">
            <w:pPr>
              <w:pStyle w:val="ListParagraph"/>
              <w:numPr>
                <w:ilvl w:val="0"/>
                <w:numId w:val="3"/>
              </w:numPr>
              <w:rPr>
                <w:rFonts w:ascii="Times New Roman" w:hAnsi="Times New Roman" w:cs="Times New Roman"/>
                <w:sz w:val="18"/>
                <w:szCs w:val="18"/>
              </w:rPr>
            </w:pPr>
            <w:r w:rsidRPr="00B415EF">
              <w:rPr>
                <w:rFonts w:ascii="Times New Roman" w:hAnsi="Times New Roman" w:cs="Times New Roman"/>
                <w:sz w:val="18"/>
                <w:szCs w:val="18"/>
              </w:rPr>
              <w:t xml:space="preserve">6 mutation has been created (point </w:t>
            </w:r>
            <w:proofErr w:type="spellStart"/>
            <w:r w:rsidRPr="00B415EF">
              <w:rPr>
                <w:rFonts w:ascii="Times New Roman" w:hAnsi="Times New Roman" w:cs="Times New Roman"/>
                <w:sz w:val="18"/>
                <w:szCs w:val="18"/>
              </w:rPr>
              <w:t>mutatio</w:t>
            </w:r>
            <w:proofErr w:type="spellEnd"/>
            <w:r w:rsidRPr="00B415EF">
              <w:rPr>
                <w:rFonts w:ascii="Times New Roman" w:hAnsi="Times New Roman" w:cs="Times New Roman"/>
                <w:sz w:val="18"/>
                <w:szCs w:val="18"/>
              </w:rPr>
              <w:t>, double and triple mutation)</w:t>
            </w:r>
          </w:p>
          <w:p w14:paraId="1DBBF81E" w14:textId="32901915"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sz w:val="18"/>
                <w:szCs w:val="18"/>
              </w:rPr>
              <w:t>Cystein</w:t>
            </w:r>
            <w:proofErr w:type="spellEnd"/>
            <w:r w:rsidRPr="00B415EF">
              <w:rPr>
                <w:rFonts w:ascii="Times New Roman" w:hAnsi="Times New Roman" w:cs="Times New Roman"/>
                <w:sz w:val="18"/>
                <w:szCs w:val="18"/>
              </w:rPr>
              <w:t xml:space="preserve"> in hook domain do not required for human Rad50 interaction with </w:t>
            </w:r>
            <w:proofErr w:type="spellStart"/>
            <w:r w:rsidRPr="00B415EF">
              <w:rPr>
                <w:rFonts w:ascii="Times New Roman" w:hAnsi="Times New Roman" w:cs="Times New Roman"/>
                <w:sz w:val="18"/>
                <w:szCs w:val="18"/>
              </w:rPr>
              <w:t>itseft</w:t>
            </w:r>
            <w:proofErr w:type="spellEnd"/>
            <w:r w:rsidRPr="00B415EF">
              <w:rPr>
                <w:rFonts w:ascii="Times New Roman" w:hAnsi="Times New Roman" w:cs="Times New Roman"/>
                <w:sz w:val="18"/>
                <w:szCs w:val="18"/>
              </w:rPr>
              <w:t xml:space="preserve"> and no significant effect on DNA binding. </w:t>
            </w:r>
          </w:p>
        </w:tc>
        <w:tc>
          <w:tcPr>
            <w:tcW w:w="1498" w:type="dxa"/>
          </w:tcPr>
          <w:p w14:paraId="1CEB47C9" w14:textId="7B41934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C680G</w:t>
            </w:r>
          </w:p>
          <w:p w14:paraId="092D9F2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C681G</w:t>
            </w:r>
          </w:p>
          <w:p w14:paraId="363F1FF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C684G</w:t>
            </w:r>
          </w:p>
          <w:p w14:paraId="2EBA122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R686A</w:t>
            </w:r>
          </w:p>
        </w:tc>
      </w:tr>
      <w:tr w:rsidR="0059084B" w:rsidRPr="00B415EF" w14:paraId="79FB7035" w14:textId="77777777" w:rsidTr="0059084B">
        <w:tc>
          <w:tcPr>
            <w:tcW w:w="1336" w:type="dxa"/>
          </w:tcPr>
          <w:p w14:paraId="2FBCA01B" w14:textId="09E6EC9D"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Saccharomyces cerevisiae</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{"citationItems":[{"id":"ITEM-1","itemData":{"DOI":"10.1074/jbc.M112.384750","ISBN":"8587847910","ISSN":"00219258","PMID":"22833675","abstract":"The Mre11-Rad50-Nbs1 (MRN) complex plays critical roles in checkpoint activation and double-stranded break (DSB) repair. The Rad50 zinc hook domain mediates zinc-dependent intercomplex associations of MRN, which is important for DNA tethering. Studies in yeast suggest that the Rad50 zinc hook domain is essential for MRN functions, but its role in mammalian cells is not clear. We demonstrated that the human Rad50 hook mutants are severely defective in various DNA damage responses including ATM (Ataxia telangiectasia mutated) activation, homologous recombination, sensitivity to IR, and activation of the ATR pathway. By using live cell imaging, we observed that the Rad50 hook mutants fail to be recruited to chromosomal DSBs, suggesting a novel mechanism underlying the severe defects observed for the Rad50 hook mutants. In vitro analysis showed that Zn(2+) promotes wild type but not the hook mutant of MR to bind double-stranded DNA. In vivo, the Rad50 hook mutants are defective in being recruited to chromosomal DSBs in both H2AX-proficient and -deficient cells, suggesting that the Rad50 hook mutants are impaired in direct binding to chromosomal DSB ends. We propose that the Rad50 zinc hook domain is important for the initial binding of MRN to DSBs, leading to ATM activation to phosphorylate H2AX, which recruits more MRN to the DSB-flanking chromosomal regions. Our studies reveal a critical role for the Rad50 zinc hook domain in establishing and maintaining MRN recruitment to chromosomal DSBs and suggest an important mechanism of how the Rad50 zinc hook domain contributes to DNA repair and checkpoint activation.","author":[{"dropping-particle":"","family":"He","given":"Jing","non-dropping-particle":"","parse-names":false,"suffix":""},{"dropping-particle":"","family":"Shi","given":"Linda Z.","non-dropping-particle":"","parse-names":false,"suffix":""},{"dropping-particle":"","family":"Truong","given":"Lan N.","non-dropping-particle":"","parse-names":false,"suffix":""},{"dropping-particle":"","family":"Lu","given":"Chi Sheng","non-dropping-particle":"","parse-names":false,"suffix":""},{"dropping-particle":"","family":"Razavian","given":"Niema","non-dropping-particle":"","parse-names":false,"suffix":""},{"dropping-particle":"","family":"Li","given":"Yongjiang","non-dropping-particle":"","parse-names":false,"suffix":""},{"dropping-particle":"","family":"Negrete","given":"Alejandro","non-dropping-particle":"","parse-names":false,"suffix":""},{"dropping-particle":"","family":"Shiloach","given":"Joseph","non-dropping-particle":"","parse-names":false,"suffix":""},{"dropping-particle":"","family":"Berns","given":"Michael W.","non-dropping-particle":"","parse-names":false,"suffix":""},{"dropping-particle":"","family":"Wu","given":"Xiaohua","non-dropping-particle":"","parse-names":false,"suffix":""}],"container-title":"Journal of Biological Chemistry","id":"ITEM-1","issue":"38","issued":{"date-parts":[["2012"]]},"page":"31747-31756","title":"Rad50 zinc hook is important for the Mre11 complex to bind chromosomal DNA double-stranded breaks and initiate various DNA damage responses","type":"article-journal","volume":"287"},"uris":["http://www.mendeley.com/documents/?uuid=49e8f08f-a3a2-4829-8ada-91c2f4237b37"]}],"mendeley":{"formattedCitation":"[9]","plainTextFormattedCitation":"[9]","previouslyFormattedCitation":"[9]"},"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[9]</w:t>
            </w:r>
            <w:r w:rsidRPr="00B415EF">
              <w:rPr>
                <w:rFonts w:ascii="Times New Roman" w:hAnsi="Times New Roman" w:cs="Times New Roman"/>
                <w:sz w:val="18"/>
                <w:szCs w:val="18"/>
              </w:rPr>
              <w:fldChar w:fldCharType="end"/>
            </w:r>
          </w:p>
        </w:tc>
        <w:tc>
          <w:tcPr>
            <w:tcW w:w="1494" w:type="dxa"/>
          </w:tcPr>
          <w:p w14:paraId="18F28FE1" w14:textId="4A23DEDA"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Zinc hook </w:t>
            </w:r>
          </w:p>
        </w:tc>
        <w:tc>
          <w:tcPr>
            <w:tcW w:w="1634" w:type="dxa"/>
          </w:tcPr>
          <w:p w14:paraId="47911EF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C684N</w:t>
            </w:r>
          </w:p>
          <w:p w14:paraId="255E125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C685A</w:t>
            </w:r>
          </w:p>
          <w:p w14:paraId="24F1A1C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P686A</w:t>
            </w:r>
          </w:p>
          <w:p w14:paraId="64D89F9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V6871</w:t>
            </w:r>
          </w:p>
          <w:p w14:paraId="656F628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C688R</w:t>
            </w:r>
          </w:p>
          <w:p w14:paraId="7D24E7B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Q689S</w:t>
            </w:r>
          </w:p>
          <w:p w14:paraId="35D0A436" w14:textId="77777777" w:rsidR="0059084B" w:rsidRPr="00B415EF" w:rsidRDefault="0059084B" w:rsidP="0059084B">
            <w:pPr>
              <w:rPr>
                <w:rFonts w:ascii="Times New Roman" w:hAnsi="Times New Roman" w:cs="Times New Roman"/>
                <w:sz w:val="18"/>
                <w:szCs w:val="18"/>
              </w:rPr>
            </w:pPr>
          </w:p>
        </w:tc>
        <w:tc>
          <w:tcPr>
            <w:tcW w:w="8350" w:type="dxa"/>
          </w:tcPr>
          <w:p w14:paraId="5D1EFDC3" w14:textId="77777777" w:rsidR="0059084B" w:rsidRPr="00B415EF" w:rsidRDefault="0059084B" w:rsidP="0059084B">
            <w:pPr>
              <w:pStyle w:val="ListParagraph"/>
              <w:numPr>
                <w:ilvl w:val="0"/>
                <w:numId w:val="4"/>
              </w:numPr>
              <w:rPr>
                <w:rFonts w:ascii="Times New Roman" w:hAnsi="Times New Roman" w:cs="Times New Roman"/>
                <w:sz w:val="18"/>
                <w:szCs w:val="18"/>
              </w:rPr>
            </w:pPr>
            <w:r w:rsidRPr="00B415EF">
              <w:rPr>
                <w:rFonts w:ascii="Times New Roman" w:hAnsi="Times New Roman" w:cs="Times New Roman"/>
                <w:sz w:val="18"/>
                <w:szCs w:val="18"/>
              </w:rPr>
              <w:t>Mutation 1: C684N + C685A + P686A + V6871 + C688R + Q689S</w:t>
            </w:r>
          </w:p>
          <w:p w14:paraId="08FA1874" w14:textId="77777777" w:rsidR="0059084B" w:rsidRPr="00B415EF" w:rsidRDefault="0059084B" w:rsidP="0059084B">
            <w:pPr>
              <w:ind w:left="360"/>
              <w:rPr>
                <w:rFonts w:ascii="Times New Roman" w:hAnsi="Times New Roman" w:cs="Times New Roman"/>
                <w:sz w:val="18"/>
                <w:szCs w:val="18"/>
              </w:rPr>
            </w:pPr>
            <w:r w:rsidRPr="00B415EF">
              <w:rPr>
                <w:rFonts w:ascii="Times New Roman" w:hAnsi="Times New Roman" w:cs="Times New Roman"/>
                <w:sz w:val="18"/>
                <w:szCs w:val="18"/>
              </w:rPr>
              <w:t>Mutation 2: C685A + C688A</w:t>
            </w:r>
          </w:p>
          <w:p w14:paraId="7D88E238" w14:textId="77777777" w:rsidR="0059084B" w:rsidRPr="00B415EF" w:rsidRDefault="0059084B" w:rsidP="0059084B">
            <w:pPr>
              <w:pStyle w:val="ListParagraph"/>
              <w:numPr>
                <w:ilvl w:val="0"/>
                <w:numId w:val="4"/>
              </w:numPr>
              <w:rPr>
                <w:rFonts w:ascii="Times New Roman" w:hAnsi="Times New Roman" w:cs="Times New Roman"/>
                <w:sz w:val="18"/>
                <w:szCs w:val="18"/>
              </w:rPr>
            </w:pPr>
            <w:r w:rsidRPr="00B415EF">
              <w:rPr>
                <w:rFonts w:ascii="Times New Roman" w:hAnsi="Times New Roman" w:cs="Times New Roman"/>
                <w:sz w:val="18"/>
                <w:szCs w:val="18"/>
              </w:rPr>
              <w:t xml:space="preserve">In vitro: mutant unable to bind to double strand break </w:t>
            </w:r>
            <w:proofErr w:type="spellStart"/>
            <w:r w:rsidRPr="00B415EF">
              <w:rPr>
                <w:rFonts w:ascii="Times New Roman" w:hAnsi="Times New Roman" w:cs="Times New Roman"/>
                <w:sz w:val="18"/>
                <w:szCs w:val="18"/>
              </w:rPr>
              <w:t>compred</w:t>
            </w:r>
            <w:proofErr w:type="spellEnd"/>
            <w:r w:rsidRPr="00B415EF">
              <w:rPr>
                <w:rFonts w:ascii="Times New Roman" w:hAnsi="Times New Roman" w:cs="Times New Roman"/>
                <w:sz w:val="18"/>
                <w:szCs w:val="18"/>
              </w:rPr>
              <w:t xml:space="preserve"> to WT.</w:t>
            </w:r>
          </w:p>
          <w:p w14:paraId="075B7482" w14:textId="77777777" w:rsidR="0059084B" w:rsidRPr="00B415EF" w:rsidRDefault="0059084B" w:rsidP="0059084B">
            <w:pPr>
              <w:ind w:left="360"/>
              <w:rPr>
                <w:rFonts w:ascii="Times New Roman" w:hAnsi="Times New Roman" w:cs="Times New Roman"/>
                <w:sz w:val="18"/>
                <w:szCs w:val="18"/>
              </w:rPr>
            </w:pPr>
            <w:r w:rsidRPr="00B415EF">
              <w:rPr>
                <w:rFonts w:ascii="Times New Roman" w:hAnsi="Times New Roman" w:cs="Times New Roman"/>
                <w:sz w:val="18"/>
                <w:szCs w:val="18"/>
              </w:rPr>
              <w:t xml:space="preserve">In vivo: mutant also defective to be </w:t>
            </w:r>
            <w:proofErr w:type="spellStart"/>
            <w:r w:rsidRPr="00B415EF">
              <w:rPr>
                <w:rFonts w:ascii="Times New Roman" w:hAnsi="Times New Roman" w:cs="Times New Roman"/>
                <w:sz w:val="18"/>
                <w:szCs w:val="18"/>
              </w:rPr>
              <w:t>recriuted</w:t>
            </w:r>
            <w:proofErr w:type="spellEnd"/>
            <w:r w:rsidRPr="00B415EF">
              <w:rPr>
                <w:rFonts w:ascii="Times New Roman" w:hAnsi="Times New Roman" w:cs="Times New Roman"/>
                <w:sz w:val="18"/>
                <w:szCs w:val="18"/>
              </w:rPr>
              <w:t xml:space="preserve"> to chromosomal double strand break.</w:t>
            </w:r>
          </w:p>
          <w:p w14:paraId="5A9163EF" w14:textId="77777777" w:rsidR="0059084B" w:rsidRPr="00B415EF" w:rsidRDefault="0059084B" w:rsidP="0059084B">
            <w:pPr>
              <w:pStyle w:val="ListParagraph"/>
              <w:numPr>
                <w:ilvl w:val="0"/>
                <w:numId w:val="4"/>
              </w:numPr>
              <w:rPr>
                <w:rFonts w:ascii="Times New Roman" w:hAnsi="Times New Roman" w:cs="Times New Roman"/>
                <w:sz w:val="18"/>
                <w:szCs w:val="18"/>
              </w:rPr>
            </w:pPr>
            <w:r w:rsidRPr="00B415EF">
              <w:rPr>
                <w:rFonts w:ascii="Times New Roman" w:hAnsi="Times New Roman" w:cs="Times New Roman"/>
                <w:sz w:val="18"/>
                <w:szCs w:val="18"/>
              </w:rPr>
              <w:t>Mutant phenotype as severe as Rad50 null mutant.</w:t>
            </w:r>
          </w:p>
          <w:p w14:paraId="248B1584" w14:textId="16B3B752"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Rad50 hook mutant severely defects in various DNA damage response includes ATM activation, homologous recombinant, sensitive to irradiation and ATR activation.</w:t>
            </w:r>
          </w:p>
        </w:tc>
        <w:tc>
          <w:tcPr>
            <w:tcW w:w="1498" w:type="dxa"/>
          </w:tcPr>
          <w:p w14:paraId="725702CC" w14:textId="4F2A4AF9"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C680N</w:t>
            </w:r>
          </w:p>
          <w:p w14:paraId="0F1347E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C681A</w:t>
            </w:r>
          </w:p>
          <w:p w14:paraId="71B9D25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P682A</w:t>
            </w:r>
          </w:p>
          <w:p w14:paraId="00C8202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V683I</w:t>
            </w:r>
          </w:p>
          <w:p w14:paraId="1885BD5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C684R</w:t>
            </w:r>
          </w:p>
          <w:p w14:paraId="5DBDE8F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Q685S</w:t>
            </w:r>
          </w:p>
        </w:tc>
      </w:tr>
      <w:tr w:rsidR="0059084B" w:rsidRPr="00B415EF" w14:paraId="28B15D10" w14:textId="77777777" w:rsidTr="0059084B">
        <w:tc>
          <w:tcPr>
            <w:tcW w:w="1336" w:type="dxa"/>
          </w:tcPr>
          <w:p w14:paraId="234828AA" w14:textId="445388B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T4 bacteriophage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{"citationItems":[{"id":"ITEM-1","itemData":{"DOI":"10.1074/jbc.M115.675132","ISSN":"1083351X","PMID":"26242734","abstract":"Rad50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excision.","author":[{"dropping-particle":"","family":"Barfoot","given":"Tasida","non-dropping-particle":"","parse-names":false,"suffix":""},{"dropping-particle":"","family":"Herdendorf","given":"Timothy J.","non-dropping-particle":"","parse-names":false,"suffix":""},{"dropping-particle":"","family":"Behning","given":"Bryanna R.","non-dropping-particle":"","parse-names":false,"suffix":""},{"dropping-particle":"","family":"Stohr","given":"Bradley A.","non-dropping-particle":"","parse-names":false,"suffix":""},{"dropping-particle":"","family":"Gao","given":"Yang","non-dropping-particle":"","parse-names":false,"suffix":""},{"dropping-particle":"","family":"Kreuzer","given":"Kenneth N.","non-dropping-particle":"","parse-names":false,"suffix":""},{"dropping-particle":"","family":"Nelson","given":"Scott W.","non-dropping-particle":"","parse-names":false,"suffix":""}],"container-title":"Journal of Biological Chemistry","id":"ITEM-1","issue":"39","issued":{"date-parts":[["2015"]]},"page":"23905-23915","title":"Functional analysis of the bacteriophage T4 Rad50 Homolog (gp46) Coiled-coil Domain","type":"article-journal","volume":"290"},"uris":["http://www.mendeley.com/documents/?uuid=312b9e85-d7a5-46ff-a23f-a926db80392d"]}],"mendeley":{"formattedCitation":"[10]","plainTextFormattedCitation":"[10]","previouslyFormattedCitation":"[10]"},"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[10]</w:t>
            </w:r>
            <w:r w:rsidRPr="00B415EF">
              <w:rPr>
                <w:rFonts w:ascii="Times New Roman" w:hAnsi="Times New Roman" w:cs="Times New Roman"/>
                <w:sz w:val="18"/>
                <w:szCs w:val="18"/>
              </w:rPr>
              <w:fldChar w:fldCharType="end"/>
            </w:r>
          </w:p>
        </w:tc>
        <w:tc>
          <w:tcPr>
            <w:tcW w:w="1494" w:type="dxa"/>
          </w:tcPr>
          <w:p w14:paraId="5D293BF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Zinc hook &amp;</w:t>
            </w:r>
          </w:p>
          <w:p w14:paraId="11EE6CB8" w14:textId="77777777" w:rsidR="0059084B" w:rsidRPr="00B415EF" w:rsidRDefault="0059084B" w:rsidP="0059084B">
            <w:pPr>
              <w:rPr>
                <w:rFonts w:ascii="Times New Roman" w:hAnsi="Times New Roman" w:cs="Times New Roman"/>
                <w:sz w:val="18"/>
                <w:szCs w:val="18"/>
              </w:rPr>
            </w:pPr>
          </w:p>
          <w:p w14:paraId="3E5FA189" w14:textId="02CD773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 coiled coil domain (ATPase domain)</w:t>
            </w:r>
          </w:p>
        </w:tc>
        <w:tc>
          <w:tcPr>
            <w:tcW w:w="1634" w:type="dxa"/>
          </w:tcPr>
          <w:p w14:paraId="0BD9E9D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C288S</w:t>
            </w:r>
          </w:p>
          <w:p w14:paraId="41ECA3E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C291S</w:t>
            </w:r>
          </w:p>
          <w:p w14:paraId="2E591470" w14:textId="77777777" w:rsidR="0059084B" w:rsidRPr="00B415EF" w:rsidRDefault="0059084B" w:rsidP="0059084B">
            <w:pPr>
              <w:rPr>
                <w:rFonts w:ascii="Times New Roman" w:hAnsi="Times New Roman" w:cs="Times New Roman"/>
                <w:sz w:val="18"/>
                <w:szCs w:val="18"/>
              </w:rPr>
            </w:pPr>
          </w:p>
          <w:p w14:paraId="2A71CAA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C312S</w:t>
            </w:r>
          </w:p>
          <w:p w14:paraId="6A784AD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K211P</w:t>
            </w:r>
          </w:p>
          <w:p w14:paraId="23DB588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K351P</w:t>
            </w:r>
          </w:p>
          <w:p w14:paraId="3014B154" w14:textId="30E0A8C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S183C</w:t>
            </w:r>
          </w:p>
        </w:tc>
        <w:tc>
          <w:tcPr>
            <w:tcW w:w="8350" w:type="dxa"/>
          </w:tcPr>
          <w:p w14:paraId="078C830F" w14:textId="77777777" w:rsidR="0059084B" w:rsidRPr="00B415EF" w:rsidRDefault="0059084B" w:rsidP="0059084B">
            <w:pPr>
              <w:pStyle w:val="ListParagraph"/>
              <w:numPr>
                <w:ilvl w:val="0"/>
                <w:numId w:val="5"/>
              </w:numPr>
              <w:rPr>
                <w:rFonts w:ascii="Times New Roman" w:hAnsi="Times New Roman" w:cs="Times New Roman"/>
                <w:sz w:val="18"/>
                <w:szCs w:val="18"/>
              </w:rPr>
            </w:pPr>
            <w:r w:rsidRPr="00B415EF">
              <w:rPr>
                <w:rFonts w:ascii="Times New Roman" w:hAnsi="Times New Roman" w:cs="Times New Roman"/>
                <w:sz w:val="18"/>
                <w:szCs w:val="18"/>
              </w:rPr>
              <w:lastRenderedPageBreak/>
              <w:t>Double mutation of C288S and C291S in T4 is lethal; indicate the ability to bind zinc</w:t>
            </w:r>
            <w:r w:rsidRPr="00B415EF">
              <w:rPr>
                <w:rFonts w:ascii="Times New Roman" w:hAnsi="Times New Roman" w:cs="Times New Roman"/>
                <w:sz w:val="18"/>
                <w:szCs w:val="18"/>
                <w:vertAlign w:val="superscript"/>
              </w:rPr>
              <w:t xml:space="preserve">2+ </w:t>
            </w:r>
            <w:r w:rsidRPr="00B415EF">
              <w:rPr>
                <w:rFonts w:ascii="Times New Roman" w:hAnsi="Times New Roman" w:cs="Times New Roman"/>
                <w:sz w:val="18"/>
                <w:szCs w:val="18"/>
              </w:rPr>
              <w:t>is critical for the functioning of MR complex.</w:t>
            </w:r>
          </w:p>
          <w:p w14:paraId="348C87C1" w14:textId="77777777" w:rsidR="0059084B" w:rsidRPr="00B415EF" w:rsidRDefault="0059084B" w:rsidP="0059084B">
            <w:pPr>
              <w:pStyle w:val="ListParagraph"/>
              <w:numPr>
                <w:ilvl w:val="0"/>
                <w:numId w:val="5"/>
              </w:numPr>
              <w:rPr>
                <w:rFonts w:ascii="Times New Roman" w:hAnsi="Times New Roman" w:cs="Times New Roman"/>
                <w:sz w:val="18"/>
                <w:szCs w:val="18"/>
              </w:rPr>
            </w:pPr>
            <w:r w:rsidRPr="00B415EF">
              <w:rPr>
                <w:rFonts w:ascii="Times New Roman" w:hAnsi="Times New Roman" w:cs="Times New Roman"/>
                <w:sz w:val="18"/>
                <w:szCs w:val="18"/>
              </w:rPr>
              <w:t xml:space="preserve">Point mutation of zinc hook or coiled coil domain do not affect Mre11 and DNA binding, but their activation of Rad50 ATPase activity is </w:t>
            </w:r>
            <w:proofErr w:type="gramStart"/>
            <w:r w:rsidRPr="00B415EF">
              <w:rPr>
                <w:rFonts w:ascii="Times New Roman" w:hAnsi="Times New Roman" w:cs="Times New Roman"/>
                <w:sz w:val="18"/>
                <w:szCs w:val="18"/>
              </w:rPr>
              <w:t>abolish</w:t>
            </w:r>
            <w:proofErr w:type="gramEnd"/>
            <w:r w:rsidRPr="00B415EF">
              <w:rPr>
                <w:rFonts w:ascii="Times New Roman" w:hAnsi="Times New Roman" w:cs="Times New Roman"/>
                <w:sz w:val="18"/>
                <w:szCs w:val="18"/>
              </w:rPr>
              <w:t>.</w:t>
            </w:r>
          </w:p>
          <w:p w14:paraId="0E40BE86" w14:textId="77777777" w:rsidR="0059084B" w:rsidRPr="00B415EF" w:rsidRDefault="0059084B" w:rsidP="0059084B">
            <w:pPr>
              <w:pStyle w:val="ListParagraph"/>
              <w:numPr>
                <w:ilvl w:val="0"/>
                <w:numId w:val="5"/>
              </w:numPr>
              <w:rPr>
                <w:rFonts w:ascii="Times New Roman" w:hAnsi="Times New Roman" w:cs="Times New Roman"/>
                <w:sz w:val="18"/>
                <w:szCs w:val="18"/>
              </w:rPr>
            </w:pPr>
            <w:r w:rsidRPr="00B415EF">
              <w:rPr>
                <w:rFonts w:ascii="Times New Roman" w:hAnsi="Times New Roman" w:cs="Times New Roman"/>
                <w:sz w:val="18"/>
                <w:szCs w:val="18"/>
              </w:rPr>
              <w:lastRenderedPageBreak/>
              <w:t>Deletion of coiled-coil and zinc hook eliminate Mre11 binding &amp; ATPase activation but do not affect basal activity.</w:t>
            </w:r>
          </w:p>
          <w:p w14:paraId="539E3119" w14:textId="64D9D220" w:rsidR="0059084B" w:rsidRPr="00B415EF" w:rsidRDefault="0059084B" w:rsidP="0059084B">
            <w:pPr>
              <w:rPr>
                <w:rFonts w:ascii="Times New Roman" w:hAnsi="Times New Roman" w:cs="Times New Roman"/>
                <w:sz w:val="18"/>
                <w:szCs w:val="18"/>
              </w:rPr>
            </w:pPr>
            <w:proofErr w:type="gramStart"/>
            <w:r w:rsidRPr="00B415EF">
              <w:rPr>
                <w:rFonts w:ascii="Times New Roman" w:hAnsi="Times New Roman" w:cs="Times New Roman"/>
                <w:sz w:val="18"/>
                <w:szCs w:val="18"/>
              </w:rPr>
              <w:t>Therefore</w:t>
            </w:r>
            <w:proofErr w:type="gramEnd"/>
            <w:r w:rsidRPr="00B415EF">
              <w:rPr>
                <w:rFonts w:ascii="Times New Roman" w:hAnsi="Times New Roman" w:cs="Times New Roman"/>
                <w:sz w:val="18"/>
                <w:szCs w:val="18"/>
              </w:rPr>
              <w:t xml:space="preserve"> coiled coil enhance ATPase activity, major conduit for communication between Mre11 and Rad50 as well as support </w:t>
            </w:r>
            <w:proofErr w:type="spellStart"/>
            <w:r w:rsidRPr="00B415EF">
              <w:rPr>
                <w:rFonts w:ascii="Times New Roman" w:hAnsi="Times New Roman" w:cs="Times New Roman"/>
                <w:sz w:val="18"/>
                <w:szCs w:val="18"/>
              </w:rPr>
              <w:t>nucleoide</w:t>
            </w:r>
            <w:proofErr w:type="spellEnd"/>
            <w:r w:rsidRPr="00B415EF">
              <w:rPr>
                <w:rFonts w:ascii="Times New Roman" w:hAnsi="Times New Roman" w:cs="Times New Roman"/>
                <w:sz w:val="18"/>
                <w:szCs w:val="18"/>
              </w:rPr>
              <w:t xml:space="preserve"> excision.</w:t>
            </w:r>
          </w:p>
        </w:tc>
        <w:tc>
          <w:tcPr>
            <w:tcW w:w="1498" w:type="dxa"/>
          </w:tcPr>
          <w:p w14:paraId="224CC1AC" w14:textId="06C5216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C681S</w:t>
            </w:r>
          </w:p>
          <w:p w14:paraId="75AEBAF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C684S</w:t>
            </w:r>
          </w:p>
          <w:p w14:paraId="4B48CED5" w14:textId="77777777" w:rsidR="0059084B" w:rsidRPr="00B415EF" w:rsidRDefault="0059084B" w:rsidP="0059084B">
            <w:pPr>
              <w:rPr>
                <w:rFonts w:ascii="Times New Roman" w:hAnsi="Times New Roman" w:cs="Times New Roman"/>
                <w:sz w:val="18"/>
                <w:szCs w:val="18"/>
              </w:rPr>
            </w:pPr>
          </w:p>
          <w:p w14:paraId="4333A78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C990S</w:t>
            </w:r>
          </w:p>
          <w:p w14:paraId="2FADEFC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K256P</w:t>
            </w:r>
          </w:p>
          <w:p w14:paraId="3ED599E9"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lastRenderedPageBreak/>
              <w:t>N1028P</w:t>
            </w:r>
          </w:p>
          <w:p w14:paraId="237E64F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M208C</w:t>
            </w:r>
          </w:p>
        </w:tc>
      </w:tr>
      <w:tr w:rsidR="0059084B" w:rsidRPr="00B415EF" w14:paraId="0295478B" w14:textId="77777777" w:rsidTr="0059084B">
        <w:trPr>
          <w:trHeight w:val="274"/>
        </w:trPr>
        <w:tc>
          <w:tcPr>
            <w:tcW w:w="1336" w:type="dxa"/>
          </w:tcPr>
          <w:p w14:paraId="30E87C79" w14:textId="1C603B2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lastRenderedPageBreak/>
              <w:t>Saccharomyces cerevisiae</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{"citationItems":[{"id":"ITEM-1","itemData":{"DOI":"10.1016/j.molcel.2014.12.018","ISSN":"10974164","PMID":"25601756","abstract":"Rad50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author":[{"dropping-particle":"","family":"Hohl","given":"Marcel","non-dropping-particle":"","parse-names":false,"suffix":""},{"dropping-particle":"","family":"Kocha??czyk","given":"Tomasz","non-dropping-particle":"","parse-names":false,"suffix":""},{"dropping-particle":"","family":"Tous","given":"Cristina","non-dropping-particle":"","parse-names":false,"suffix":""},{"dropping-particle":"","family":"Aguilera","given":"Andr??s","non-dropping-particle":"","parse-names":false,"suffix":""},{"dropping-particle":"","family":"KrEzel","given":"Artur","non-dropping-particle":"","parse-names":false,"suffix":""},{"dropping-particle":"","family":"Petrini","given":"John H J","non-dropping-particle":"","parse-names":false,"suffix":""}],"container-title":"Molecular Cell","id":"ITEM-1","issue":"3","issued":{"date-parts":[["2015"]]},"page":"479-492","title":"Interdependence of the Rad50 Hook and Globular domain functions","type":"article-journal","volume":"57"},"uris":["http://www.mendeley.com/documents/?uuid=1d8e16ac-5a3e-45c0-9e5c-dc96e1172449"]}],"mendeley":{"formattedCitation":"[11]","plainTextFormattedCitation":"[11]","previouslyFormattedCitation":"[11]"},"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[11]</w:t>
            </w:r>
            <w:r w:rsidRPr="00B415EF">
              <w:rPr>
                <w:rFonts w:ascii="Times New Roman" w:hAnsi="Times New Roman" w:cs="Times New Roman"/>
                <w:sz w:val="18"/>
                <w:szCs w:val="18"/>
              </w:rPr>
              <w:fldChar w:fldCharType="end"/>
            </w:r>
          </w:p>
        </w:tc>
        <w:tc>
          <w:tcPr>
            <w:tcW w:w="1494" w:type="dxa"/>
          </w:tcPr>
          <w:p w14:paraId="1F63E89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Zinc hook</w:t>
            </w:r>
          </w:p>
          <w:p w14:paraId="56DF3171" w14:textId="77777777" w:rsidR="0059084B" w:rsidRPr="00B415EF" w:rsidRDefault="0059084B" w:rsidP="0059084B">
            <w:pPr>
              <w:rPr>
                <w:rFonts w:ascii="Times New Roman" w:hAnsi="Times New Roman" w:cs="Times New Roman"/>
                <w:sz w:val="18"/>
                <w:szCs w:val="18"/>
              </w:rPr>
            </w:pPr>
          </w:p>
          <w:p w14:paraId="4B78903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&amp;</w:t>
            </w:r>
          </w:p>
          <w:p w14:paraId="6B40A754" w14:textId="77777777" w:rsidR="0059084B" w:rsidRPr="00B415EF" w:rsidRDefault="0059084B" w:rsidP="0059084B">
            <w:pPr>
              <w:rPr>
                <w:rFonts w:ascii="Times New Roman" w:hAnsi="Times New Roman" w:cs="Times New Roman"/>
                <w:sz w:val="18"/>
                <w:szCs w:val="18"/>
              </w:rPr>
            </w:pPr>
          </w:p>
          <w:p w14:paraId="2A602133" w14:textId="77777777" w:rsidR="0059084B" w:rsidRPr="00B415EF" w:rsidRDefault="0059084B" w:rsidP="0059084B">
            <w:pPr>
              <w:rPr>
                <w:rFonts w:ascii="Times New Roman" w:hAnsi="Times New Roman" w:cs="Times New Roman"/>
                <w:sz w:val="18"/>
                <w:szCs w:val="18"/>
              </w:rPr>
            </w:pPr>
          </w:p>
          <w:p w14:paraId="1ADF4C64" w14:textId="44E679B8"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coiled coil domain (ATPase domain)</w:t>
            </w:r>
          </w:p>
        </w:tc>
        <w:tc>
          <w:tcPr>
            <w:tcW w:w="1634" w:type="dxa"/>
          </w:tcPr>
          <w:p w14:paraId="35B8DEA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S685R</w:t>
            </w:r>
          </w:p>
          <w:p w14:paraId="10424ACB"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Y688E</w:t>
            </w:r>
          </w:p>
          <w:p w14:paraId="5A3C01F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Y688R</w:t>
            </w:r>
          </w:p>
          <w:p w14:paraId="4B24781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L689R</w:t>
            </w:r>
          </w:p>
          <w:p w14:paraId="511FBA89" w14:textId="77777777" w:rsidR="0059084B" w:rsidRPr="00B415EF" w:rsidRDefault="0059084B" w:rsidP="0059084B">
            <w:pPr>
              <w:rPr>
                <w:rFonts w:ascii="Times New Roman" w:hAnsi="Times New Roman" w:cs="Times New Roman"/>
                <w:sz w:val="18"/>
                <w:szCs w:val="18"/>
              </w:rPr>
            </w:pPr>
          </w:p>
          <w:p w14:paraId="4943EBB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I680V</w:t>
            </w:r>
          </w:p>
          <w:p w14:paraId="4DB7A6E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K700Q</w:t>
            </w:r>
          </w:p>
          <w:p w14:paraId="198B8FD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L703F</w:t>
            </w:r>
          </w:p>
          <w:p w14:paraId="1A19F85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V285A</w:t>
            </w:r>
          </w:p>
          <w:p w14:paraId="71599F4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N607Y</w:t>
            </w:r>
          </w:p>
          <w:p w14:paraId="16419B4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N873I</w:t>
            </w:r>
          </w:p>
          <w:p w14:paraId="4E09D312" w14:textId="6DEDC25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S193F</w:t>
            </w:r>
          </w:p>
        </w:tc>
        <w:tc>
          <w:tcPr>
            <w:tcW w:w="8350" w:type="dxa"/>
          </w:tcPr>
          <w:p w14:paraId="135EFF5A" w14:textId="77777777" w:rsidR="0059084B" w:rsidRPr="00B415EF" w:rsidRDefault="0059084B" w:rsidP="0059084B">
            <w:pPr>
              <w:pStyle w:val="ListParagraph"/>
              <w:numPr>
                <w:ilvl w:val="0"/>
                <w:numId w:val="7"/>
              </w:numPr>
              <w:rPr>
                <w:rFonts w:ascii="Times New Roman" w:hAnsi="Times New Roman" w:cs="Times New Roman"/>
                <w:sz w:val="18"/>
                <w:szCs w:val="18"/>
              </w:rPr>
            </w:pPr>
            <w:r w:rsidRPr="00B415EF">
              <w:rPr>
                <w:rFonts w:ascii="Times New Roman" w:hAnsi="Times New Roman" w:cs="Times New Roman"/>
                <w:sz w:val="18"/>
                <w:szCs w:val="18"/>
              </w:rPr>
              <w:t>3 mutation has been created in zinc hook.</w:t>
            </w:r>
          </w:p>
          <w:p w14:paraId="3E76DE7C" w14:textId="77777777" w:rsidR="0059084B" w:rsidRPr="00B415EF" w:rsidRDefault="0059084B" w:rsidP="0059084B">
            <w:pPr>
              <w:ind w:left="360"/>
              <w:rPr>
                <w:rFonts w:ascii="Times New Roman" w:hAnsi="Times New Roman" w:cs="Times New Roman"/>
                <w:sz w:val="18"/>
                <w:szCs w:val="18"/>
              </w:rPr>
            </w:pPr>
            <w:r w:rsidRPr="00B415EF">
              <w:rPr>
                <w:rFonts w:ascii="Times New Roman" w:hAnsi="Times New Roman" w:cs="Times New Roman"/>
                <w:sz w:val="18"/>
                <w:szCs w:val="18"/>
              </w:rPr>
              <w:t>Mutation Rad50</w:t>
            </w:r>
            <w:r w:rsidRPr="00B415EF">
              <w:rPr>
                <w:rFonts w:ascii="Times New Roman" w:hAnsi="Times New Roman" w:cs="Times New Roman"/>
                <w:sz w:val="18"/>
                <w:szCs w:val="18"/>
                <w:vertAlign w:val="superscript"/>
              </w:rPr>
              <w:t>46</w:t>
            </w:r>
            <w:r w:rsidRPr="00B415EF">
              <w:rPr>
                <w:rFonts w:ascii="Times New Roman" w:hAnsi="Times New Roman" w:cs="Times New Roman"/>
                <w:sz w:val="18"/>
                <w:szCs w:val="18"/>
              </w:rPr>
              <w:t>: S685R + Y688</w:t>
            </w:r>
            <w:proofErr w:type="gramStart"/>
            <w:r w:rsidRPr="00B415EF">
              <w:rPr>
                <w:rFonts w:ascii="Times New Roman" w:hAnsi="Times New Roman" w:cs="Times New Roman"/>
                <w:sz w:val="18"/>
                <w:szCs w:val="18"/>
              </w:rPr>
              <w:t xml:space="preserve">E;   </w:t>
            </w:r>
            <w:proofErr w:type="gramEnd"/>
            <w:r w:rsidRPr="00B415EF">
              <w:rPr>
                <w:rFonts w:ascii="Times New Roman" w:hAnsi="Times New Roman" w:cs="Times New Roman"/>
                <w:sz w:val="18"/>
                <w:szCs w:val="18"/>
              </w:rPr>
              <w:t>Rad50</w:t>
            </w:r>
            <w:r w:rsidRPr="00B415EF">
              <w:rPr>
                <w:rFonts w:ascii="Times New Roman" w:hAnsi="Times New Roman" w:cs="Times New Roman"/>
                <w:sz w:val="18"/>
                <w:szCs w:val="18"/>
                <w:vertAlign w:val="superscript"/>
              </w:rPr>
              <w:t>48</w:t>
            </w:r>
            <w:r w:rsidRPr="00B415EF">
              <w:rPr>
                <w:rFonts w:ascii="Times New Roman" w:hAnsi="Times New Roman" w:cs="Times New Roman"/>
                <w:sz w:val="18"/>
                <w:szCs w:val="18"/>
              </w:rPr>
              <w:t>: S685R + Y688R;  Rad50</w:t>
            </w:r>
            <w:r w:rsidRPr="00B415EF">
              <w:rPr>
                <w:rFonts w:ascii="Times New Roman" w:hAnsi="Times New Roman" w:cs="Times New Roman"/>
                <w:sz w:val="18"/>
                <w:szCs w:val="18"/>
                <w:vertAlign w:val="superscript"/>
              </w:rPr>
              <w:t>47</w:t>
            </w:r>
            <w:r w:rsidRPr="00B415EF">
              <w:rPr>
                <w:rFonts w:ascii="Times New Roman" w:hAnsi="Times New Roman" w:cs="Times New Roman"/>
                <w:sz w:val="18"/>
                <w:szCs w:val="18"/>
              </w:rPr>
              <w:t>: L689R</w:t>
            </w:r>
          </w:p>
          <w:p w14:paraId="71421D20" w14:textId="77777777" w:rsidR="0059084B" w:rsidRPr="00B415EF" w:rsidRDefault="0059084B" w:rsidP="0059084B">
            <w:pPr>
              <w:pStyle w:val="ListParagraph"/>
              <w:numPr>
                <w:ilvl w:val="0"/>
                <w:numId w:val="7"/>
              </w:numPr>
              <w:rPr>
                <w:rFonts w:ascii="Times New Roman" w:hAnsi="Times New Roman" w:cs="Times New Roman"/>
                <w:sz w:val="18"/>
                <w:szCs w:val="18"/>
              </w:rPr>
            </w:pPr>
            <w:r w:rsidRPr="00B415EF">
              <w:rPr>
                <w:rFonts w:ascii="Times New Roman" w:hAnsi="Times New Roman" w:cs="Times New Roman"/>
                <w:sz w:val="18"/>
                <w:szCs w:val="18"/>
              </w:rPr>
              <w:t>Sensitivity test: Rad50</w:t>
            </w:r>
            <w:r w:rsidRPr="00B415EF">
              <w:rPr>
                <w:rFonts w:ascii="Times New Roman" w:hAnsi="Times New Roman" w:cs="Times New Roman"/>
                <w:sz w:val="18"/>
                <w:szCs w:val="18"/>
                <w:vertAlign w:val="superscript"/>
              </w:rPr>
              <w:t xml:space="preserve">46 </w:t>
            </w:r>
            <w:r w:rsidRPr="00B415EF">
              <w:rPr>
                <w:rFonts w:ascii="Times New Roman" w:hAnsi="Times New Roman" w:cs="Times New Roman"/>
                <w:sz w:val="18"/>
                <w:szCs w:val="18"/>
              </w:rPr>
              <w:t>and Rad50</w:t>
            </w:r>
            <w:r w:rsidRPr="00B415EF">
              <w:rPr>
                <w:rFonts w:ascii="Times New Roman" w:hAnsi="Times New Roman" w:cs="Times New Roman"/>
                <w:sz w:val="18"/>
                <w:szCs w:val="18"/>
                <w:vertAlign w:val="superscript"/>
              </w:rPr>
              <w:t>47</w:t>
            </w:r>
            <w:r w:rsidRPr="00B415EF">
              <w:rPr>
                <w:rFonts w:ascii="Times New Roman" w:hAnsi="Times New Roman" w:cs="Times New Roman"/>
                <w:sz w:val="18"/>
                <w:szCs w:val="18"/>
              </w:rPr>
              <w:t xml:space="preserve"> </w:t>
            </w:r>
            <w:proofErr w:type="spellStart"/>
            <w:r w:rsidRPr="00B415EF">
              <w:rPr>
                <w:rFonts w:ascii="Times New Roman" w:hAnsi="Times New Roman" w:cs="Times New Roman"/>
                <w:sz w:val="18"/>
                <w:szCs w:val="18"/>
              </w:rPr>
              <w:t>shoewd</w:t>
            </w:r>
            <w:proofErr w:type="spellEnd"/>
            <w:r w:rsidRPr="00B415EF">
              <w:rPr>
                <w:rFonts w:ascii="Times New Roman" w:hAnsi="Times New Roman" w:cs="Times New Roman"/>
                <w:sz w:val="18"/>
                <w:szCs w:val="18"/>
              </w:rPr>
              <w:t xml:space="preserve"> partial sensitivity to MMS, </w:t>
            </w:r>
            <w:proofErr w:type="spellStart"/>
            <w:r w:rsidRPr="00B415EF">
              <w:rPr>
                <w:rFonts w:ascii="Times New Roman" w:hAnsi="Times New Roman" w:cs="Times New Roman"/>
                <w:sz w:val="18"/>
                <w:szCs w:val="18"/>
              </w:rPr>
              <w:t>hyroxyurea</w:t>
            </w:r>
            <w:proofErr w:type="spellEnd"/>
            <w:r w:rsidRPr="00B415EF">
              <w:rPr>
                <w:rFonts w:ascii="Times New Roman" w:hAnsi="Times New Roman" w:cs="Times New Roman"/>
                <w:sz w:val="18"/>
                <w:szCs w:val="18"/>
              </w:rPr>
              <w:t xml:space="preserve"> &amp; </w:t>
            </w:r>
            <w:proofErr w:type="spellStart"/>
            <w:r w:rsidRPr="00B415EF">
              <w:rPr>
                <w:rFonts w:ascii="Times New Roman" w:hAnsi="Times New Roman" w:cs="Times New Roman"/>
                <w:sz w:val="18"/>
                <w:szCs w:val="18"/>
              </w:rPr>
              <w:t>camptothesin</w:t>
            </w:r>
            <w:proofErr w:type="spellEnd"/>
            <w:r w:rsidRPr="00B415EF">
              <w:rPr>
                <w:rFonts w:ascii="Times New Roman" w:hAnsi="Times New Roman" w:cs="Times New Roman"/>
                <w:sz w:val="18"/>
                <w:szCs w:val="18"/>
              </w:rPr>
              <w:t xml:space="preserve">. </w:t>
            </w:r>
          </w:p>
          <w:p w14:paraId="10644BEA" w14:textId="77777777" w:rsidR="0059084B" w:rsidRPr="00B415EF" w:rsidRDefault="0059084B" w:rsidP="0059084B">
            <w:pPr>
              <w:pStyle w:val="ListParagraph"/>
              <w:ind w:left="360"/>
              <w:rPr>
                <w:rFonts w:ascii="Times New Roman" w:hAnsi="Times New Roman" w:cs="Times New Roman"/>
                <w:sz w:val="18"/>
                <w:szCs w:val="18"/>
              </w:rPr>
            </w:pPr>
            <w:r w:rsidRPr="00B415EF">
              <w:rPr>
                <w:rFonts w:ascii="Times New Roman" w:hAnsi="Times New Roman" w:cs="Times New Roman"/>
                <w:sz w:val="18"/>
                <w:szCs w:val="18"/>
              </w:rPr>
              <w:t>Rad50</w:t>
            </w:r>
            <w:r w:rsidRPr="00B415EF">
              <w:rPr>
                <w:rFonts w:ascii="Times New Roman" w:hAnsi="Times New Roman" w:cs="Times New Roman"/>
                <w:sz w:val="18"/>
                <w:szCs w:val="18"/>
                <w:vertAlign w:val="superscript"/>
              </w:rPr>
              <w:t>48</w:t>
            </w:r>
            <w:r w:rsidRPr="00B415EF">
              <w:rPr>
                <w:rFonts w:ascii="Times New Roman" w:hAnsi="Times New Roman" w:cs="Times New Roman"/>
                <w:sz w:val="18"/>
                <w:szCs w:val="18"/>
              </w:rPr>
              <w:t xml:space="preserve"> showed minimal sensitivity to MMS.</w:t>
            </w:r>
          </w:p>
          <w:p w14:paraId="72C10A13" w14:textId="77777777" w:rsidR="0059084B" w:rsidRPr="00B415EF" w:rsidRDefault="0059084B" w:rsidP="0059084B">
            <w:pPr>
              <w:pStyle w:val="ListParagraph"/>
              <w:numPr>
                <w:ilvl w:val="0"/>
                <w:numId w:val="7"/>
              </w:numPr>
              <w:rPr>
                <w:rFonts w:ascii="Times New Roman" w:hAnsi="Times New Roman" w:cs="Times New Roman"/>
                <w:sz w:val="18"/>
                <w:szCs w:val="18"/>
              </w:rPr>
            </w:pPr>
            <w:r w:rsidRPr="00B415EF">
              <w:rPr>
                <w:rFonts w:ascii="Times New Roman" w:hAnsi="Times New Roman" w:cs="Times New Roman"/>
                <w:sz w:val="18"/>
                <w:szCs w:val="18"/>
              </w:rPr>
              <w:t>Interaction: Rad50</w:t>
            </w:r>
            <w:r w:rsidRPr="00B415EF">
              <w:rPr>
                <w:rFonts w:ascii="Times New Roman" w:hAnsi="Times New Roman" w:cs="Times New Roman"/>
                <w:sz w:val="18"/>
                <w:szCs w:val="18"/>
                <w:vertAlign w:val="superscript"/>
              </w:rPr>
              <w:t>46;</w:t>
            </w:r>
            <w:r w:rsidRPr="00B415EF">
              <w:rPr>
                <w:rFonts w:ascii="Times New Roman" w:hAnsi="Times New Roman" w:cs="Times New Roman"/>
                <w:sz w:val="18"/>
                <w:szCs w:val="18"/>
              </w:rPr>
              <w:t xml:space="preserve"> Rad50-Mre11 interaction was strongly impaired. Rad50</w:t>
            </w:r>
            <w:r w:rsidRPr="00B415EF">
              <w:rPr>
                <w:rFonts w:ascii="Times New Roman" w:hAnsi="Times New Roman" w:cs="Times New Roman"/>
                <w:sz w:val="18"/>
                <w:szCs w:val="18"/>
                <w:vertAlign w:val="superscript"/>
              </w:rPr>
              <w:t xml:space="preserve">47 </w:t>
            </w:r>
            <w:r w:rsidRPr="00B415EF">
              <w:rPr>
                <w:rFonts w:ascii="Times New Roman" w:hAnsi="Times New Roman" w:cs="Times New Roman"/>
                <w:sz w:val="18"/>
                <w:szCs w:val="18"/>
              </w:rPr>
              <w:t>and Rad50</w:t>
            </w:r>
            <w:r w:rsidRPr="00B415EF">
              <w:rPr>
                <w:rFonts w:ascii="Times New Roman" w:hAnsi="Times New Roman" w:cs="Times New Roman"/>
                <w:sz w:val="18"/>
                <w:szCs w:val="18"/>
                <w:vertAlign w:val="superscript"/>
              </w:rPr>
              <w:t xml:space="preserve">48 </w:t>
            </w:r>
            <w:r w:rsidRPr="00B415EF">
              <w:rPr>
                <w:rFonts w:ascii="Times New Roman" w:hAnsi="Times New Roman" w:cs="Times New Roman"/>
                <w:sz w:val="18"/>
                <w:szCs w:val="18"/>
              </w:rPr>
              <w:t>not clearly affected compared to WT.</w:t>
            </w:r>
          </w:p>
          <w:p w14:paraId="72AC7256" w14:textId="77777777" w:rsidR="0059084B" w:rsidRPr="00B415EF" w:rsidRDefault="0059084B" w:rsidP="0059084B">
            <w:pPr>
              <w:pStyle w:val="ListParagraph"/>
              <w:numPr>
                <w:ilvl w:val="0"/>
                <w:numId w:val="7"/>
              </w:numPr>
              <w:rPr>
                <w:rFonts w:ascii="Times New Roman" w:hAnsi="Times New Roman" w:cs="Times New Roman"/>
                <w:sz w:val="18"/>
                <w:szCs w:val="18"/>
              </w:rPr>
            </w:pPr>
            <w:proofErr w:type="spellStart"/>
            <w:r w:rsidRPr="00B415EF">
              <w:rPr>
                <w:rFonts w:ascii="Times New Roman" w:hAnsi="Times New Roman" w:cs="Times New Roman"/>
                <w:sz w:val="18"/>
                <w:szCs w:val="18"/>
              </w:rPr>
              <w:t>Viabiliy</w:t>
            </w:r>
            <w:proofErr w:type="spellEnd"/>
            <w:r w:rsidRPr="00B415EF">
              <w:rPr>
                <w:rFonts w:ascii="Times New Roman" w:hAnsi="Times New Roman" w:cs="Times New Roman"/>
                <w:sz w:val="18"/>
                <w:szCs w:val="18"/>
              </w:rPr>
              <w:t>: Sporulation efficiency and viability were severely impaired in Rad50</w:t>
            </w:r>
            <w:r w:rsidRPr="00B415EF">
              <w:rPr>
                <w:rFonts w:ascii="Times New Roman" w:hAnsi="Times New Roman" w:cs="Times New Roman"/>
                <w:sz w:val="18"/>
                <w:szCs w:val="18"/>
                <w:vertAlign w:val="superscript"/>
              </w:rPr>
              <w:t xml:space="preserve">46 </w:t>
            </w:r>
            <w:r w:rsidRPr="00B415EF">
              <w:rPr>
                <w:rFonts w:ascii="Times New Roman" w:hAnsi="Times New Roman" w:cs="Times New Roman"/>
                <w:sz w:val="18"/>
                <w:szCs w:val="18"/>
              </w:rPr>
              <w:t>followed by Rad50</w:t>
            </w:r>
            <w:r w:rsidRPr="00B415EF">
              <w:rPr>
                <w:rFonts w:ascii="Times New Roman" w:hAnsi="Times New Roman" w:cs="Times New Roman"/>
                <w:sz w:val="18"/>
                <w:szCs w:val="18"/>
                <w:vertAlign w:val="superscript"/>
              </w:rPr>
              <w:t>47</w:t>
            </w:r>
            <w:r w:rsidRPr="00B415EF">
              <w:rPr>
                <w:rFonts w:ascii="Times New Roman" w:hAnsi="Times New Roman" w:cs="Times New Roman"/>
                <w:sz w:val="18"/>
                <w:szCs w:val="18"/>
              </w:rPr>
              <w:t>. Rad50</w:t>
            </w:r>
            <w:r w:rsidRPr="00B415EF">
              <w:rPr>
                <w:rFonts w:ascii="Times New Roman" w:hAnsi="Times New Roman" w:cs="Times New Roman"/>
                <w:sz w:val="18"/>
                <w:szCs w:val="18"/>
                <w:vertAlign w:val="superscript"/>
              </w:rPr>
              <w:t>48</w:t>
            </w:r>
            <w:r w:rsidRPr="00B415EF">
              <w:rPr>
                <w:rFonts w:ascii="Times New Roman" w:hAnsi="Times New Roman" w:cs="Times New Roman"/>
                <w:sz w:val="18"/>
                <w:szCs w:val="18"/>
              </w:rPr>
              <w:t xml:space="preserve"> close to WT.</w:t>
            </w:r>
          </w:p>
          <w:p w14:paraId="5CAB3BC3" w14:textId="77777777" w:rsidR="0059084B" w:rsidRPr="00B415EF" w:rsidRDefault="0059084B" w:rsidP="0059084B">
            <w:pPr>
              <w:pStyle w:val="ListParagraph"/>
              <w:numPr>
                <w:ilvl w:val="0"/>
                <w:numId w:val="7"/>
              </w:numPr>
              <w:rPr>
                <w:rFonts w:ascii="Times New Roman" w:hAnsi="Times New Roman" w:cs="Times New Roman"/>
                <w:sz w:val="18"/>
                <w:szCs w:val="18"/>
              </w:rPr>
            </w:pPr>
            <w:r w:rsidRPr="00B415EF">
              <w:rPr>
                <w:rFonts w:ascii="Times New Roman" w:hAnsi="Times New Roman" w:cs="Times New Roman"/>
                <w:sz w:val="18"/>
                <w:szCs w:val="18"/>
              </w:rPr>
              <w:t>Rad50</w:t>
            </w:r>
            <w:r w:rsidRPr="00B415EF">
              <w:rPr>
                <w:rFonts w:ascii="Times New Roman" w:hAnsi="Times New Roman" w:cs="Times New Roman"/>
                <w:sz w:val="18"/>
                <w:szCs w:val="18"/>
                <w:vertAlign w:val="superscript"/>
              </w:rPr>
              <w:t xml:space="preserve">46 </w:t>
            </w:r>
            <w:r w:rsidRPr="00B415EF">
              <w:rPr>
                <w:rFonts w:ascii="Times New Roman" w:hAnsi="Times New Roman" w:cs="Times New Roman"/>
                <w:sz w:val="18"/>
                <w:szCs w:val="18"/>
              </w:rPr>
              <w:t>(S685R + Y688</w:t>
            </w:r>
            <w:proofErr w:type="gramStart"/>
            <w:r w:rsidRPr="00B415EF">
              <w:rPr>
                <w:rFonts w:ascii="Times New Roman" w:hAnsi="Times New Roman" w:cs="Times New Roman"/>
                <w:sz w:val="18"/>
                <w:szCs w:val="18"/>
              </w:rPr>
              <w:t>E )</w:t>
            </w:r>
            <w:proofErr w:type="gramEnd"/>
            <w:r w:rsidRPr="00B415EF">
              <w:rPr>
                <w:rFonts w:ascii="Times New Roman" w:hAnsi="Times New Roman" w:cs="Times New Roman"/>
                <w:sz w:val="18"/>
                <w:szCs w:val="18"/>
              </w:rPr>
              <w:t xml:space="preserve"> also showed partial </w:t>
            </w:r>
            <w:proofErr w:type="spellStart"/>
            <w:r w:rsidRPr="00B415EF">
              <w:rPr>
                <w:rFonts w:ascii="Times New Roman" w:hAnsi="Times New Roman" w:cs="Times New Roman"/>
                <w:sz w:val="18"/>
                <w:szCs w:val="18"/>
              </w:rPr>
              <w:t>supression</w:t>
            </w:r>
            <w:proofErr w:type="spellEnd"/>
            <w:r w:rsidRPr="00B415EF">
              <w:rPr>
                <w:rFonts w:ascii="Times New Roman" w:hAnsi="Times New Roman" w:cs="Times New Roman"/>
                <w:sz w:val="18"/>
                <w:szCs w:val="18"/>
              </w:rPr>
              <w:t xml:space="preserve"> of telomere and meiotic defects.</w:t>
            </w:r>
          </w:p>
          <w:p w14:paraId="66936721" w14:textId="30207EA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Mre11 interaction was also partially improved in I680V, K700Q, V285A, N607Y, N873I and S193F. L703F allele restored the interaction, consistent with its pronounced effect on MMS resistance.</w:t>
            </w:r>
          </w:p>
        </w:tc>
        <w:tc>
          <w:tcPr>
            <w:tcW w:w="1498" w:type="dxa"/>
          </w:tcPr>
          <w:p w14:paraId="61FC07F2" w14:textId="76CE620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S679R</w:t>
            </w:r>
          </w:p>
          <w:p w14:paraId="1CC9AE8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P682E</w:t>
            </w:r>
          </w:p>
          <w:p w14:paraId="00391BD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P682R</w:t>
            </w:r>
          </w:p>
          <w:p w14:paraId="29ED62F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V683R</w:t>
            </w:r>
          </w:p>
          <w:p w14:paraId="12FB6EFD" w14:textId="77777777" w:rsidR="0059084B" w:rsidRPr="00B415EF" w:rsidRDefault="0059084B" w:rsidP="0059084B">
            <w:pPr>
              <w:rPr>
                <w:rFonts w:ascii="Times New Roman" w:hAnsi="Times New Roman" w:cs="Times New Roman"/>
                <w:sz w:val="18"/>
                <w:szCs w:val="18"/>
              </w:rPr>
            </w:pPr>
          </w:p>
          <w:p w14:paraId="52DD911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L673V</w:t>
            </w:r>
          </w:p>
          <w:p w14:paraId="1912F2A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L694Q</w:t>
            </w:r>
          </w:p>
          <w:p w14:paraId="06F389F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V697F</w:t>
            </w:r>
          </w:p>
          <w:p w14:paraId="4801BE3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M293A</w:t>
            </w:r>
          </w:p>
          <w:p w14:paraId="05EC631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S603Y</w:t>
            </w:r>
          </w:p>
          <w:p w14:paraId="58A2018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Q886I</w:t>
            </w:r>
          </w:p>
          <w:p w14:paraId="5A22982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Q194F</w:t>
            </w:r>
          </w:p>
        </w:tc>
      </w:tr>
      <w:tr w:rsidR="0059084B" w:rsidRPr="00B415EF" w14:paraId="2CA8EFF2" w14:textId="77777777" w:rsidTr="0059084B">
        <w:trPr>
          <w:trHeight w:val="274"/>
        </w:trPr>
        <w:tc>
          <w:tcPr>
            <w:tcW w:w="1336" w:type="dxa"/>
          </w:tcPr>
          <w:p w14:paraId="0AB15759" w14:textId="4EBCCDB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Homo sapiens</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{"citationItems":[{"id":"ITEM-1","itemData":{"DOI":"10.1074/jbc.M111.258152","ISBN":"1083-351X (Electronic)\\r0021-9258 (Linking)","ISSN":"00219258","PMID":"21757780","abstract":"The Mre11/Rad50/NBN complex plays a central role in coordinating the cellular response to DNA double-strand breaks. The importance of Rad50 in that response is evident from the recent description of a patient with Rad50 deficiency characterized by chromosomal instability and defective ATM-dependent signaling. We report here that ATM (defective in ataxia-telangiectasia) phosphorylates Rad50 at a single site (Ser-635) that plays an important adaptor role in signaling for cell cycle control and DNA repair. Although a Rad50 phosphosite-specific mutant (S635G) supported normal activation of ATM in Rad50-deficient cells, it was defective in correcting DNA damage-induced signaling through the ATM-dependent substrate SMC1. This mutant also failed to correct radiosensitivity, DNA double-strand break repair, and an S-phase checkpoint defect in Rad50-deficient cells. This was not due to disruption of the Mre11/Rad50/NBN complex revealing for the first time that phosphorylation of Rad50 plays a key regulatory role as an adaptor for specific ATM-dependent downstream signaling through SMC1 for DNA repair and cell cycle checkpoint control in the maintenance of genome integrity.","author":[{"dropping-particle":"","family":"Gatei","given":"Magtouf","non-dropping-particle":"","parse-names":false,"suffix":""},{"dropping-particle":"","family":"Jakob","given":"Burkhard","non-dropping-particle":"","parse-names":false,"suffix":""},{"dropping-particle":"","family":"Chen","given":"Philip","non-dropping-particle":"","parse-names":false,"suffix":""},{"dropping-particle":"","family":"Kijas","given":"Amanda W.","non-dropping-particle":"","parse-names":false,"suffix":""},{"dropping-particle":"","family":"Becherel","given":"Olivier J.","non-dropping-particle":"","parse-names":false,"suffix":""},{"dropping-particle":"","family":"Gueven","given":"Nuri","non-dropping-particle":"","parse-names":false,"suffix":""},{"dropping-particle":"","family":"Birrell","given":"Geoff","non-dropping-particle":"","parse-names":false,"suffix":""},{"dropping-particle":"","family":"Lee","given":"Ji Hoon","non-dropping-particle":"","parse-names":false,"suffix":""},{"dropping-particle":"","family":"Paull","given":"Tanya T.","non-dropping-particle":"","parse-names":false,"suffix":""},{"dropping-particle":"","family":"Lerenthal","given":"Yaniv","non-dropping-particle":"","parse-names":false,"suffix":""},{"dropping-particle":"","family":"Fazry","given":"Shazrul","non-dropping-particle":"","parse-names":false,"suffix":""},{"dropping-particle":"","family":"Taucher-Scholz","given":"Gisela","non-dropping-particle":"","parse-names":false,"suffix":""},{"dropping-particle":"","family":"Kalb","given":"Reinhard","non-dropping-particle":"","parse-names":false,"suffix":""},{"dropping-particle":"","family":"Schindler","given":"Detlev","non-dropping-particle":"","parse-names":false,"suffix":""},{"dropping-particle":"","family":"Waltes","given":"Regina","non-dropping-particle":"","parse-names":false,"suffix":""},{"dropping-particle":"","family":"D??rk","given":"Thilo","non-dropping-particle":"","parse-names":false,"suffix":""},{"dropping-particle":"","family":"Lavin","given":"Martin F.","non-dropping-particle":"","parse-names":false,"suffix":""}],"container-title":"Journal of Biological Chemistry","id":"ITEM-1","issue":"36","issued":{"date-parts":[["2011"]]},"page":"31542-31556","title":"ATM protein-dependent phosphorylation of Rad50 protein Regulates DNA repair and cell cycle control","type":"article-journal","volume":"286"},"uris":["http://www.mendeley.com/documents/?uuid=43e190ad-7dc1-49c2-a881-0344f6bb2818"]}],"mendeley":{"formattedCitation":"[12]","plainTextFormattedCitation":"[12]","previouslyFormattedCitation":"[12]"},"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[12]</w:t>
            </w:r>
            <w:r w:rsidRPr="00B415EF">
              <w:rPr>
                <w:rFonts w:ascii="Times New Roman" w:hAnsi="Times New Roman" w:cs="Times New Roman"/>
                <w:sz w:val="18"/>
                <w:szCs w:val="18"/>
              </w:rPr>
              <w:fldChar w:fldCharType="end"/>
            </w:r>
            <w:r w:rsidRPr="00B415EF">
              <w:rPr>
                <w:rFonts w:ascii="Times New Roman" w:hAnsi="Times New Roman" w:cs="Times New Roman"/>
                <w:sz w:val="18"/>
                <w:szCs w:val="18"/>
              </w:rPr>
              <w:t xml:space="preserve"> </w:t>
            </w:r>
          </w:p>
        </w:tc>
        <w:tc>
          <w:tcPr>
            <w:tcW w:w="1494" w:type="dxa"/>
          </w:tcPr>
          <w:p w14:paraId="3C51C517" w14:textId="58D859AA"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sz w:val="18"/>
                <w:szCs w:val="18"/>
              </w:rPr>
              <w:t>Zich</w:t>
            </w:r>
            <w:proofErr w:type="spellEnd"/>
            <w:r w:rsidRPr="00B415EF">
              <w:rPr>
                <w:rFonts w:ascii="Times New Roman" w:hAnsi="Times New Roman" w:cs="Times New Roman"/>
                <w:sz w:val="18"/>
                <w:szCs w:val="18"/>
              </w:rPr>
              <w:t xml:space="preserve"> hook</w:t>
            </w:r>
          </w:p>
        </w:tc>
        <w:tc>
          <w:tcPr>
            <w:tcW w:w="1634" w:type="dxa"/>
          </w:tcPr>
          <w:p w14:paraId="306054EC" w14:textId="5545402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S635G </w:t>
            </w:r>
          </w:p>
        </w:tc>
        <w:tc>
          <w:tcPr>
            <w:tcW w:w="8350" w:type="dxa"/>
          </w:tcPr>
          <w:p w14:paraId="69A8C70E" w14:textId="77777777" w:rsidR="0059084B" w:rsidRPr="00B415EF" w:rsidRDefault="0059084B" w:rsidP="0059084B">
            <w:pPr>
              <w:pStyle w:val="ListParagraph"/>
              <w:numPr>
                <w:ilvl w:val="0"/>
                <w:numId w:val="23"/>
              </w:numPr>
              <w:rPr>
                <w:rFonts w:ascii="Times New Roman" w:hAnsi="Times New Roman" w:cs="Times New Roman"/>
                <w:sz w:val="18"/>
                <w:szCs w:val="18"/>
              </w:rPr>
            </w:pPr>
            <w:r w:rsidRPr="00B415EF">
              <w:rPr>
                <w:rFonts w:ascii="Times New Roman" w:hAnsi="Times New Roman" w:cs="Times New Roman"/>
                <w:sz w:val="18"/>
                <w:szCs w:val="18"/>
              </w:rPr>
              <w:t xml:space="preserve">Characterised by chromosomal instability and defective ATM-dependent signalling.  </w:t>
            </w:r>
          </w:p>
          <w:p w14:paraId="0AE948DE" w14:textId="77777777" w:rsidR="0059084B" w:rsidRPr="00B415EF" w:rsidRDefault="0059084B" w:rsidP="0059084B">
            <w:pPr>
              <w:pStyle w:val="ListParagraph"/>
              <w:numPr>
                <w:ilvl w:val="0"/>
                <w:numId w:val="23"/>
              </w:numPr>
              <w:rPr>
                <w:rFonts w:ascii="Times New Roman" w:hAnsi="Times New Roman" w:cs="Times New Roman"/>
                <w:sz w:val="18"/>
                <w:szCs w:val="18"/>
              </w:rPr>
            </w:pPr>
            <w:r w:rsidRPr="00B415EF">
              <w:rPr>
                <w:rFonts w:ascii="Times New Roman" w:hAnsi="Times New Roman" w:cs="Times New Roman"/>
                <w:sz w:val="18"/>
                <w:szCs w:val="18"/>
              </w:rPr>
              <w:t xml:space="preserve">The study found that </w:t>
            </w:r>
            <w:bookmarkStart w:id="5" w:name="_Hlk514492086"/>
            <w:r w:rsidRPr="00B415EF">
              <w:rPr>
                <w:rFonts w:ascii="Times New Roman" w:hAnsi="Times New Roman" w:cs="Times New Roman"/>
                <w:sz w:val="18"/>
                <w:szCs w:val="18"/>
              </w:rPr>
              <w:t>ATM phosphorylates Rad50 at a single site (S635) that plays an important role in signalling for cell cycle control and DNA repair</w:t>
            </w:r>
            <w:bookmarkEnd w:id="5"/>
            <w:r w:rsidRPr="00B415EF">
              <w:rPr>
                <w:rFonts w:ascii="Times New Roman" w:hAnsi="Times New Roman" w:cs="Times New Roman"/>
                <w:sz w:val="18"/>
                <w:szCs w:val="18"/>
              </w:rPr>
              <w:t xml:space="preserve">. </w:t>
            </w:r>
          </w:p>
          <w:p w14:paraId="329D2BE4" w14:textId="77777777" w:rsidR="0059084B" w:rsidRPr="00B415EF" w:rsidRDefault="0059084B" w:rsidP="0059084B">
            <w:pPr>
              <w:pStyle w:val="ListParagraph"/>
              <w:numPr>
                <w:ilvl w:val="0"/>
                <w:numId w:val="23"/>
              </w:numPr>
              <w:rPr>
                <w:rFonts w:ascii="Times New Roman" w:hAnsi="Times New Roman" w:cs="Times New Roman"/>
                <w:sz w:val="18"/>
                <w:szCs w:val="18"/>
              </w:rPr>
            </w:pPr>
            <w:r w:rsidRPr="00B415EF">
              <w:rPr>
                <w:rFonts w:ascii="Times New Roman" w:hAnsi="Times New Roman" w:cs="Times New Roman"/>
                <w:sz w:val="18"/>
                <w:szCs w:val="18"/>
              </w:rPr>
              <w:t xml:space="preserve">Even a Rad50 </w:t>
            </w:r>
            <w:proofErr w:type="spellStart"/>
            <w:r w:rsidRPr="00B415EF">
              <w:rPr>
                <w:rFonts w:ascii="Times New Roman" w:hAnsi="Times New Roman" w:cs="Times New Roman"/>
                <w:sz w:val="18"/>
                <w:szCs w:val="18"/>
              </w:rPr>
              <w:t>phosphosite</w:t>
            </w:r>
            <w:proofErr w:type="spellEnd"/>
            <w:r w:rsidRPr="00B415EF">
              <w:rPr>
                <w:rFonts w:ascii="Times New Roman" w:hAnsi="Times New Roman" w:cs="Times New Roman"/>
                <w:sz w:val="18"/>
                <w:szCs w:val="18"/>
              </w:rPr>
              <w:t xml:space="preserve">-specific mutant (S635G) supported normal activation of ATM in Rad50 deficient cells, but it was defective in correcting DNA damage induced signalling through the ATM-dependent substrate SMC1. </w:t>
            </w:r>
          </w:p>
          <w:p w14:paraId="52A988FE" w14:textId="77777777" w:rsidR="0059084B" w:rsidRPr="00B415EF" w:rsidRDefault="0059084B" w:rsidP="0059084B">
            <w:pPr>
              <w:pStyle w:val="ListParagraph"/>
              <w:numPr>
                <w:ilvl w:val="0"/>
                <w:numId w:val="23"/>
              </w:numPr>
              <w:rPr>
                <w:rFonts w:ascii="Times New Roman" w:hAnsi="Times New Roman" w:cs="Times New Roman"/>
                <w:sz w:val="18"/>
                <w:szCs w:val="18"/>
              </w:rPr>
            </w:pPr>
            <w:r w:rsidRPr="00B415EF">
              <w:rPr>
                <w:rFonts w:ascii="Times New Roman" w:hAnsi="Times New Roman" w:cs="Times New Roman"/>
                <w:sz w:val="18"/>
                <w:szCs w:val="18"/>
              </w:rPr>
              <w:t xml:space="preserve">This mutant also failed to correct </w:t>
            </w:r>
            <w:proofErr w:type="spellStart"/>
            <w:r w:rsidRPr="00B415EF">
              <w:rPr>
                <w:rFonts w:ascii="Times New Roman" w:hAnsi="Times New Roman" w:cs="Times New Roman"/>
                <w:sz w:val="18"/>
                <w:szCs w:val="18"/>
              </w:rPr>
              <w:t>radiosensitivity</w:t>
            </w:r>
            <w:proofErr w:type="spellEnd"/>
            <w:r w:rsidRPr="00B415EF">
              <w:rPr>
                <w:rFonts w:ascii="Times New Roman" w:hAnsi="Times New Roman" w:cs="Times New Roman"/>
                <w:sz w:val="18"/>
                <w:szCs w:val="18"/>
              </w:rPr>
              <w:t>, DNA double strand break (DSB) repair and an S phase checkpoint defect in Rad50 deficient cells.</w:t>
            </w:r>
          </w:p>
          <w:p w14:paraId="4DDF0E68" w14:textId="4CF956D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Demonstrated that the Rad50 S635 phosphorylation site plays a role in mediating the intra-S checkpoint after irradiation, and it is hypothesised to play a role as an ATM adaptor to regulate downstream ATM signalling.</w:t>
            </w:r>
          </w:p>
        </w:tc>
        <w:tc>
          <w:tcPr>
            <w:tcW w:w="1498" w:type="dxa"/>
          </w:tcPr>
          <w:p w14:paraId="50709931" w14:textId="3FE84D02"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S635G</w:t>
            </w:r>
          </w:p>
          <w:p w14:paraId="0AB1DEEC" w14:textId="77777777" w:rsidR="0059084B" w:rsidRPr="00B415EF" w:rsidRDefault="0059084B" w:rsidP="0059084B">
            <w:pPr>
              <w:rPr>
                <w:rFonts w:ascii="Times New Roman" w:hAnsi="Times New Roman" w:cs="Times New Roman"/>
                <w:sz w:val="18"/>
                <w:szCs w:val="18"/>
              </w:rPr>
            </w:pPr>
          </w:p>
        </w:tc>
      </w:tr>
      <w:tr w:rsidR="0059084B" w:rsidRPr="00B415EF" w14:paraId="16C273EE" w14:textId="77777777" w:rsidTr="0059084B">
        <w:tc>
          <w:tcPr>
            <w:tcW w:w="1336" w:type="dxa"/>
          </w:tcPr>
          <w:p w14:paraId="476EE542" w14:textId="22A24513"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i/>
                <w:sz w:val="18"/>
                <w:szCs w:val="18"/>
              </w:rPr>
              <w:t>Pyrococcus</w:t>
            </w:r>
            <w:proofErr w:type="spellEnd"/>
            <w:r w:rsidRPr="00B415EF">
              <w:rPr>
                <w:rFonts w:ascii="Times New Roman" w:hAnsi="Times New Roman" w:cs="Times New Roman"/>
                <w:i/>
                <w:sz w:val="18"/>
                <w:szCs w:val="18"/>
              </w:rPr>
              <w:t xml:space="preserve"> </w:t>
            </w:r>
            <w:proofErr w:type="spellStart"/>
            <w:r w:rsidRPr="00B415EF">
              <w:rPr>
                <w:rFonts w:ascii="Times New Roman" w:hAnsi="Times New Roman" w:cs="Times New Roman"/>
                <w:i/>
                <w:sz w:val="18"/>
                <w:szCs w:val="18"/>
              </w:rPr>
              <w:t>furiosus</w:t>
            </w:r>
            <w:proofErr w:type="spellEnd"/>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{"citationItems":[{"id":"ITEM-1","itemData":{"DOI":"10.1002/embj.201386100","ISBN":"1460-2075 (Electronic)\\r0261-4189 (Linking)","ISSN":"14602075","PMID":"24493214","abstract":"The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breaks.","author":[{"dropping-particle":"","family":"Deshpande","given":"Rajashree A.","non-dropping-particle":"","parse-names":false,"suffix":""},{"dropping-particle":"","family":"Williams","given":"Gareth J.","non-dropping-particle":"","parse-names":false,"suffix":""},{"dropping-particle":"","family":"Limbo","given":"Oliver","non-dropping-particle":"","parse-names":false,"suffix":""},{"dropping-particle":"","family":"Williams","given":"R. Scott","non-dropping-particle":"","parse-names":false,"suffix":""},{"dropping-particle":"","family":"Kuhnlein","given":"Jeff","non-dropping-particle":"","parse-names":false,"suffix":""},{"dropping-particle":"","family":"Lee","given":"Ji Hoon","non-dropping-particle":"","parse-names":false,"suffix":""},{"dropping-particle":"","family":"Classen","given":"Scott","non-dropping-particle":"","parse-names":false,"suffix":""},{"dropping-particle":"","family":"Guenther","given":"Grant","non-dropping-particle":"","parse-names":false,"suffix":""},{"dropping-particle":"","family":"Russell","given":"Paul","non-dropping-particle":"","parse-names":false,"suffix":""},{"dropping-particle":"","family":"Tainer","given":"John A.","non-dropping-particle":"","parse-names":false,"suffix":""},{"dropping-particle":"","family":"Paull","given":"Tanya T.","non-dropping-particle":"","parse-names":false,"suffix":""}],"container-title":"EMBO Journal","id":"ITEM-1","issue":"5","issued":{"date-parts":[["2014"]]},"page":"482-500","title":"ATP-driven Rad50 conformations regulate DNA tethering, end resection, and ATM checkpoint signaling","type":"article-journal","volume":"33"},"uris":["http://www.mendeley.com/documents/?uuid=52ca34c0-bd2a-4e48-ae0d-77c445a07077"]}],"mendeley":{"formattedCitation":"[13]","plainTextFormattedCitation":"[13]","previouslyFormattedCitation":"[13]"},"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[13]</w:t>
            </w:r>
            <w:r w:rsidRPr="00B415EF">
              <w:rPr>
                <w:rFonts w:ascii="Times New Roman" w:hAnsi="Times New Roman" w:cs="Times New Roman"/>
                <w:sz w:val="18"/>
                <w:szCs w:val="18"/>
              </w:rPr>
              <w:fldChar w:fldCharType="end"/>
            </w:r>
          </w:p>
        </w:tc>
        <w:tc>
          <w:tcPr>
            <w:tcW w:w="1494" w:type="dxa"/>
          </w:tcPr>
          <w:p w14:paraId="7EF4B61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 &amp;</w:t>
            </w:r>
          </w:p>
          <w:p w14:paraId="0F826922" w14:textId="0CFA2FFB"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ATPase domain</w:t>
            </w:r>
          </w:p>
        </w:tc>
        <w:tc>
          <w:tcPr>
            <w:tcW w:w="1634" w:type="dxa"/>
          </w:tcPr>
          <w:p w14:paraId="5CBAC2A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R797G</w:t>
            </w:r>
          </w:p>
          <w:p w14:paraId="03CA5A2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R805E</w:t>
            </w:r>
          </w:p>
          <w:p w14:paraId="04F09F8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R805W</w:t>
            </w:r>
          </w:p>
          <w:p w14:paraId="1E25857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L802W</w:t>
            </w:r>
          </w:p>
          <w:p w14:paraId="207EFF2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L806F</w:t>
            </w:r>
          </w:p>
          <w:p w14:paraId="6831F6B0" w14:textId="430E4BFC"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K155A</w:t>
            </w:r>
          </w:p>
        </w:tc>
        <w:tc>
          <w:tcPr>
            <w:tcW w:w="8350" w:type="dxa"/>
          </w:tcPr>
          <w:p w14:paraId="14850C10"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L802W: Decrease dimerization in ATP &amp; hydrolysis; also decrease in cleavage site</w:t>
            </w:r>
          </w:p>
          <w:p w14:paraId="4F2C7DC1"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R805E: Increase dimerization and do not have significant proteolysis with WT.</w:t>
            </w:r>
          </w:p>
          <w:p w14:paraId="78E13AF0"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In vivo; L802E=I1214W</w:t>
            </w:r>
            <w:r w:rsidRPr="00B415EF">
              <w:rPr>
                <w:rFonts w:ascii="Times New Roman" w:hAnsi="Times New Roman" w:cs="Times New Roman"/>
                <w:sz w:val="18"/>
                <w:szCs w:val="18"/>
                <w:vertAlign w:val="superscript"/>
              </w:rPr>
              <w:t>Sc</w:t>
            </w:r>
            <w:r w:rsidRPr="00B415EF">
              <w:rPr>
                <w:rFonts w:ascii="Times New Roman" w:hAnsi="Times New Roman" w:cs="Times New Roman"/>
                <w:sz w:val="18"/>
                <w:szCs w:val="18"/>
              </w:rPr>
              <w:t xml:space="preserve"> grown well in </w:t>
            </w:r>
            <w:proofErr w:type="spellStart"/>
            <w:r w:rsidRPr="00B415EF">
              <w:rPr>
                <w:rFonts w:ascii="Times New Roman" w:hAnsi="Times New Roman" w:cs="Times New Roman"/>
                <w:sz w:val="18"/>
                <w:szCs w:val="18"/>
              </w:rPr>
              <w:t>camptothecin</w:t>
            </w:r>
            <w:proofErr w:type="spellEnd"/>
            <w:r w:rsidRPr="00B415EF">
              <w:rPr>
                <w:rFonts w:ascii="Times New Roman" w:hAnsi="Times New Roman" w:cs="Times New Roman"/>
                <w:sz w:val="18"/>
                <w:szCs w:val="18"/>
              </w:rPr>
              <w:t xml:space="preserve"> (CPT) and showed rapid DNA repair after induced with HO endonuclease.</w:t>
            </w:r>
          </w:p>
          <w:p w14:paraId="739F039E" w14:textId="77777777" w:rsidR="0059084B" w:rsidRPr="00B415EF" w:rsidRDefault="0059084B" w:rsidP="0059084B">
            <w:pPr>
              <w:pStyle w:val="ListParagraph"/>
              <w:ind w:left="360"/>
              <w:rPr>
                <w:rFonts w:ascii="Times New Roman" w:hAnsi="Times New Roman" w:cs="Times New Roman"/>
                <w:sz w:val="18"/>
                <w:szCs w:val="18"/>
              </w:rPr>
            </w:pPr>
            <w:r w:rsidRPr="00B415EF">
              <w:rPr>
                <w:rFonts w:ascii="Times New Roman" w:hAnsi="Times New Roman" w:cs="Times New Roman"/>
                <w:sz w:val="18"/>
                <w:szCs w:val="18"/>
              </w:rPr>
              <w:t>R805E=R1217E</w:t>
            </w:r>
            <w:r w:rsidRPr="00B415EF">
              <w:rPr>
                <w:rFonts w:ascii="Times New Roman" w:hAnsi="Times New Roman" w:cs="Times New Roman"/>
                <w:sz w:val="18"/>
                <w:szCs w:val="18"/>
                <w:vertAlign w:val="superscript"/>
              </w:rPr>
              <w:t>Sc</w:t>
            </w:r>
            <w:r w:rsidRPr="00B415EF">
              <w:rPr>
                <w:rFonts w:ascii="Times New Roman" w:hAnsi="Times New Roman" w:cs="Times New Roman"/>
                <w:sz w:val="18"/>
                <w:szCs w:val="18"/>
              </w:rPr>
              <w:t xml:space="preserve"> showed poorly grown in CPT; inability to repair endogenous DNA damage by HR. Also showed defect in resection which </w:t>
            </w:r>
            <w:proofErr w:type="spellStart"/>
            <w:r w:rsidRPr="00B415EF">
              <w:rPr>
                <w:rFonts w:ascii="Times New Roman" w:hAnsi="Times New Roman" w:cs="Times New Roman"/>
                <w:sz w:val="18"/>
                <w:szCs w:val="18"/>
              </w:rPr>
              <w:t>stll</w:t>
            </w:r>
            <w:proofErr w:type="spellEnd"/>
            <w:r w:rsidRPr="00B415EF">
              <w:rPr>
                <w:rFonts w:ascii="Times New Roman" w:hAnsi="Times New Roman" w:cs="Times New Roman"/>
                <w:sz w:val="18"/>
                <w:szCs w:val="18"/>
              </w:rPr>
              <w:t xml:space="preserve"> required 25kb for repair. And showed defect in resection in HO induced.</w:t>
            </w:r>
          </w:p>
          <w:p w14:paraId="365ABD1C"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I1214W + R1217E: Robust in promoting NHEJ; same as WT.</w:t>
            </w:r>
          </w:p>
          <w:p w14:paraId="5215A6A0"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R1217E improve survival significantly compared WT and I1214W; after generating DSBs across genome.</w:t>
            </w:r>
          </w:p>
          <w:p w14:paraId="23A61E98" w14:textId="77777777" w:rsidR="0059084B" w:rsidRPr="00B415EF" w:rsidRDefault="0059084B" w:rsidP="0059084B">
            <w:pPr>
              <w:pStyle w:val="ListParagraph"/>
              <w:numPr>
                <w:ilvl w:val="0"/>
                <w:numId w:val="15"/>
              </w:numPr>
              <w:rPr>
                <w:rFonts w:ascii="Times New Roman" w:hAnsi="Times New Roman" w:cs="Times New Roman"/>
                <w:sz w:val="18"/>
                <w:szCs w:val="18"/>
              </w:rPr>
            </w:pPr>
            <w:r w:rsidRPr="00B415EF">
              <w:rPr>
                <w:rFonts w:ascii="Times New Roman" w:hAnsi="Times New Roman" w:cs="Times New Roman"/>
                <w:sz w:val="18"/>
                <w:szCs w:val="18"/>
              </w:rPr>
              <w:t xml:space="preserve">R1217E: separation of function such that the resection </w:t>
            </w:r>
            <w:proofErr w:type="gramStart"/>
            <w:r w:rsidRPr="00B415EF">
              <w:rPr>
                <w:rFonts w:ascii="Times New Roman" w:hAnsi="Times New Roman" w:cs="Times New Roman"/>
                <w:sz w:val="18"/>
                <w:szCs w:val="18"/>
              </w:rPr>
              <w:t>are</w:t>
            </w:r>
            <w:proofErr w:type="gramEnd"/>
            <w:r w:rsidRPr="00B415EF">
              <w:rPr>
                <w:rFonts w:ascii="Times New Roman" w:hAnsi="Times New Roman" w:cs="Times New Roman"/>
                <w:sz w:val="18"/>
                <w:szCs w:val="18"/>
              </w:rPr>
              <w:t xml:space="preserve"> specifically impaired but NHEJ activity are intact&amp; hyperactive; consistent with results in vitro.</w:t>
            </w:r>
          </w:p>
          <w:p w14:paraId="7184A9C2" w14:textId="36F07839"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I1214W: Nearly WT for all assays.</w:t>
            </w:r>
          </w:p>
        </w:tc>
        <w:tc>
          <w:tcPr>
            <w:tcW w:w="1498" w:type="dxa"/>
          </w:tcPr>
          <w:p w14:paraId="045DEAC6" w14:textId="01388CF8"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K1206G</w:t>
            </w:r>
          </w:p>
          <w:p w14:paraId="2204609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R1214E</w:t>
            </w:r>
          </w:p>
          <w:p w14:paraId="1CFA05E1"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R1214W</w:t>
            </w:r>
          </w:p>
          <w:p w14:paraId="3EC042B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L1211W</w:t>
            </w:r>
          </w:p>
          <w:p w14:paraId="70CCF06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L1215F</w:t>
            </w:r>
          </w:p>
          <w:p w14:paraId="012F6B8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Q174A</w:t>
            </w:r>
          </w:p>
        </w:tc>
      </w:tr>
      <w:tr w:rsidR="0059084B" w:rsidRPr="00B415EF" w14:paraId="3909B9FA" w14:textId="77777777" w:rsidTr="0059084B">
        <w:tc>
          <w:tcPr>
            <w:tcW w:w="1336" w:type="dxa"/>
          </w:tcPr>
          <w:p w14:paraId="55E4BBA7" w14:textId="461EE0DF"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i/>
                <w:sz w:val="18"/>
                <w:szCs w:val="18"/>
              </w:rPr>
              <w:t>Schizo</w:t>
            </w:r>
            <w:proofErr w:type="spellEnd"/>
            <w:r w:rsidRPr="00B415EF">
              <w:rPr>
                <w:rFonts w:ascii="Times New Roman" w:hAnsi="Times New Roman" w:cs="Times New Roman"/>
                <w:i/>
                <w:sz w:val="18"/>
                <w:szCs w:val="18"/>
              </w:rPr>
              <w:t>-saccharomyces pombe</w:t>
            </w:r>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{"citationItems":[{"id":"ITEM-1","itemData":{"DOI":"10.1038/nsmb0911-1084c","ISBN":"1545-9985 (Electronic)\\n1545-9985 (Linking)","ISSN":"1545-9993","PMID":"21441914","abstract":"The Rad50 ABC-ATPase complex with Mre11 nuclease is essential for dsDNA break repair, telomere maintenance and ataxia telangiectasia-mutated kinase checkpoint signaling. How Rad50 affects Mre11 functions and how ABC-ATPases communicate nucleotide binding and ligand states across long distances and among protein partners are questions that have remained obscure. Here, structures of Mre11-Rad50 complexes define the Mre11 2-helix Rad50 binding domain (RBD) that forms a four-helix interface with Rad50 coiled coils adjoining the ATPase core. Newly identified effector and basic-switch helix motifs extend the ABC-ATPase signature motif to link ATP-driven Rad50 movements to coiled coils binding Mre11, implying an ~30-Å pull on the linker to the nuclease domain. Both RBD and basic-switch mutations cause clastogen sensitivity. Our new results characterize flexible ATP-dependent Mre11 regulation, defects in cancer-linked RBD mutations, conserved superfamily basic switches and motifs effecting ATP-driven conformational change, and they provide a unified comprehension of ABC-ATPase activities.","author":[{"dropping-particle":"","family":"Williams","given":"Gareth J","non-dropping-particle":"","parse-names":false,"suffix":""},{"dropping-particle":"","family":"Williams","given":"R Scott","non-dropping-particle":"","parse-names":false,"suffix":""},{"dropping-particle":"","family":"Williams","given":"Jessica S","non-dropping-particle":"","parse-names":false,"suffix":""},{"dropping-particle":"","family":"Moncalian","given":"Gabriel","non-dropping-particle":"","parse-names":false,"suffix":""},{"dropping-particle":"","family":"Arvai","given":"Andrew S","non-dropping-particle":"","parse-names":false,"suffix":""},{"dropping-particle":"","family":"Limbo","given":"Oliver","non-dropping-particle":"","parse-names":false,"suffix":""},{"dropping-particle":"","family":"Guenther","given":"Grant","non-dropping-particle":"","parse-names":false,"suffix":""},{"dropping-particle":"","family":"SilDas","given":"Soumita","non-dropping-particle":"","parse-names":false,"suffix":""},{"dropping-particle":"","family":"Hammel","given":"Michal","non-dropping-particle":"","parse-names":false,"suffix":""},{"dropping-particle":"","family":"Russell","given":"Paul","non-dropping-particle":"","parse-names":false,"suffix":""},{"dropping-particle":"","family":"Tainer","given":"John a","non-dropping-particle":"","parse-names":false,"suffix":""}],"container-title":"Nature structural &amp; molecular biology","id":"ITEM-1","issue":"4","issued":{"date-parts":[["2011"]]},"page":"423-431","title":"ABC ATPase signature helices in Rad50 link nucleotide state to Mre11 interface for DNA repair.","type":"article-journal","volume":"18"},"uris":["http://www.mendeley.com/documents/?uuid=e8dad421-1fa6-4755-a162-654a6f0a3e5a"]}],"mendeley":{"formattedCitation":"[14]","plainTextFormattedCitation":"[14]","previouslyFormattedCitation":"[14]"},"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[14]</w:t>
            </w:r>
            <w:r w:rsidRPr="00B415EF">
              <w:rPr>
                <w:rFonts w:ascii="Times New Roman" w:hAnsi="Times New Roman" w:cs="Times New Roman"/>
                <w:sz w:val="18"/>
                <w:szCs w:val="18"/>
              </w:rPr>
              <w:fldChar w:fldCharType="end"/>
            </w:r>
          </w:p>
        </w:tc>
        <w:tc>
          <w:tcPr>
            <w:tcW w:w="1494" w:type="dxa"/>
          </w:tcPr>
          <w:p w14:paraId="63B12407" w14:textId="750F5678"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w:t>
            </w:r>
          </w:p>
        </w:tc>
        <w:tc>
          <w:tcPr>
            <w:tcW w:w="1634" w:type="dxa"/>
          </w:tcPr>
          <w:p w14:paraId="1685E8D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K1187A</w:t>
            </w:r>
          </w:p>
          <w:p w14:paraId="2A41BE2C"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K1187E</w:t>
            </w:r>
          </w:p>
          <w:p w14:paraId="37295775"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R1195A</w:t>
            </w:r>
          </w:p>
          <w:p w14:paraId="0776366F" w14:textId="480CE33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R1195E</w:t>
            </w:r>
          </w:p>
        </w:tc>
        <w:tc>
          <w:tcPr>
            <w:tcW w:w="8350" w:type="dxa"/>
          </w:tcPr>
          <w:p w14:paraId="4240F5BA" w14:textId="77777777" w:rsidR="0059084B" w:rsidRPr="00B415EF" w:rsidRDefault="0059084B" w:rsidP="0059084B">
            <w:pPr>
              <w:pStyle w:val="ListParagraph"/>
              <w:numPr>
                <w:ilvl w:val="0"/>
                <w:numId w:val="17"/>
              </w:numPr>
              <w:rPr>
                <w:rFonts w:ascii="Times New Roman" w:hAnsi="Times New Roman" w:cs="Times New Roman"/>
                <w:sz w:val="18"/>
                <w:szCs w:val="18"/>
              </w:rPr>
            </w:pPr>
            <w:r w:rsidRPr="00B415EF">
              <w:rPr>
                <w:rFonts w:ascii="Times New Roman" w:hAnsi="Times New Roman" w:cs="Times New Roman"/>
                <w:sz w:val="18"/>
                <w:szCs w:val="18"/>
              </w:rPr>
              <w:t xml:space="preserve">K1187A: sensitive in higher dose of </w:t>
            </w:r>
            <w:proofErr w:type="spellStart"/>
            <w:r w:rsidRPr="00B415EF">
              <w:rPr>
                <w:rFonts w:ascii="Times New Roman" w:hAnsi="Times New Roman" w:cs="Times New Roman"/>
                <w:sz w:val="18"/>
                <w:szCs w:val="18"/>
              </w:rPr>
              <w:t>clastogens</w:t>
            </w:r>
            <w:proofErr w:type="spellEnd"/>
            <w:r w:rsidRPr="00B415EF">
              <w:rPr>
                <w:rFonts w:ascii="Times New Roman" w:hAnsi="Times New Roman" w:cs="Times New Roman"/>
                <w:sz w:val="18"/>
                <w:szCs w:val="18"/>
              </w:rPr>
              <w:t>.</w:t>
            </w:r>
          </w:p>
          <w:p w14:paraId="511FC44D" w14:textId="77777777" w:rsidR="0059084B" w:rsidRPr="00B415EF" w:rsidRDefault="0059084B" w:rsidP="0059084B">
            <w:pPr>
              <w:pStyle w:val="ListParagraph"/>
              <w:numPr>
                <w:ilvl w:val="0"/>
                <w:numId w:val="17"/>
              </w:numPr>
              <w:rPr>
                <w:rFonts w:ascii="Times New Roman" w:hAnsi="Times New Roman" w:cs="Times New Roman"/>
                <w:sz w:val="18"/>
                <w:szCs w:val="18"/>
              </w:rPr>
            </w:pPr>
            <w:r w:rsidRPr="00B415EF">
              <w:rPr>
                <w:rFonts w:ascii="Times New Roman" w:hAnsi="Times New Roman" w:cs="Times New Roman"/>
                <w:sz w:val="18"/>
                <w:szCs w:val="18"/>
              </w:rPr>
              <w:t xml:space="preserve">K1187E, R1195A &amp; R1195E: significantly sensitive to </w:t>
            </w:r>
            <w:proofErr w:type="spellStart"/>
            <w:r w:rsidRPr="00B415EF">
              <w:rPr>
                <w:rFonts w:ascii="Times New Roman" w:hAnsi="Times New Roman" w:cs="Times New Roman"/>
                <w:sz w:val="18"/>
                <w:szCs w:val="18"/>
              </w:rPr>
              <w:t>clastogen</w:t>
            </w:r>
            <w:proofErr w:type="spellEnd"/>
            <w:r w:rsidRPr="00B415EF">
              <w:rPr>
                <w:rFonts w:ascii="Times New Roman" w:hAnsi="Times New Roman" w:cs="Times New Roman"/>
                <w:sz w:val="18"/>
                <w:szCs w:val="18"/>
              </w:rPr>
              <w:t xml:space="preserve"> agents and are deleterious as Rad50 null mutation.</w:t>
            </w:r>
          </w:p>
          <w:p w14:paraId="5DEFCF30" w14:textId="77777777" w:rsidR="0059084B" w:rsidRPr="00B415EF" w:rsidRDefault="0059084B" w:rsidP="0059084B">
            <w:pPr>
              <w:rPr>
                <w:rFonts w:ascii="Times New Roman" w:hAnsi="Times New Roman" w:cs="Times New Roman"/>
                <w:sz w:val="18"/>
                <w:szCs w:val="18"/>
              </w:rPr>
            </w:pPr>
          </w:p>
        </w:tc>
        <w:tc>
          <w:tcPr>
            <w:tcW w:w="1498" w:type="dxa"/>
          </w:tcPr>
          <w:p w14:paraId="42FFDDF8" w14:textId="0971630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K1206A</w:t>
            </w:r>
          </w:p>
          <w:p w14:paraId="6CF346F0"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K1206E</w:t>
            </w:r>
          </w:p>
          <w:p w14:paraId="4BF548D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R1214A</w:t>
            </w:r>
          </w:p>
          <w:p w14:paraId="1BF8506D"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R1214E</w:t>
            </w:r>
          </w:p>
        </w:tc>
      </w:tr>
      <w:tr w:rsidR="0059084B" w:rsidRPr="00B415EF" w14:paraId="16AF4D97" w14:textId="77777777" w:rsidTr="0059084B">
        <w:tc>
          <w:tcPr>
            <w:tcW w:w="1336" w:type="dxa"/>
          </w:tcPr>
          <w:p w14:paraId="42EC0209" w14:textId="71495EE8" w:rsidR="0059084B" w:rsidRPr="00B415EF" w:rsidRDefault="0059084B" w:rsidP="0059084B">
            <w:pPr>
              <w:rPr>
                <w:rFonts w:ascii="Times New Roman" w:hAnsi="Times New Roman" w:cs="Times New Roman"/>
                <w:sz w:val="18"/>
                <w:szCs w:val="18"/>
              </w:rPr>
            </w:pPr>
            <w:proofErr w:type="spellStart"/>
            <w:r w:rsidRPr="00B415EF">
              <w:rPr>
                <w:rFonts w:ascii="Times New Roman" w:hAnsi="Times New Roman" w:cs="Times New Roman"/>
                <w:i/>
                <w:sz w:val="18"/>
                <w:szCs w:val="18"/>
              </w:rPr>
              <w:lastRenderedPageBreak/>
              <w:t>Pyrococcus</w:t>
            </w:r>
            <w:proofErr w:type="spellEnd"/>
            <w:r w:rsidRPr="00B415EF">
              <w:rPr>
                <w:rFonts w:ascii="Times New Roman" w:hAnsi="Times New Roman" w:cs="Times New Roman"/>
                <w:i/>
                <w:sz w:val="18"/>
                <w:szCs w:val="18"/>
              </w:rPr>
              <w:t xml:space="preserve"> </w:t>
            </w:r>
            <w:proofErr w:type="spellStart"/>
            <w:r w:rsidRPr="00B415EF">
              <w:rPr>
                <w:rFonts w:ascii="Times New Roman" w:hAnsi="Times New Roman" w:cs="Times New Roman"/>
                <w:i/>
                <w:sz w:val="18"/>
                <w:szCs w:val="18"/>
              </w:rPr>
              <w:t>furiosus</w:t>
            </w:r>
            <w:proofErr w:type="spellEnd"/>
            <w:r w:rsidRPr="00B415EF">
              <w:rPr>
                <w:rFonts w:ascii="Times New Roman" w:hAnsi="Times New Roman" w:cs="Times New Roman"/>
                <w:sz w:val="18"/>
                <w:szCs w:val="18"/>
              </w:rPr>
              <w:t xml:space="preserv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{"citationItems":[{"id":"ITEM-1","itemData":{"DOI":"10.1016/j.jmb.2003.11.026","ISBN":"0022-2836 (Print)\\r0022-2836 (Linking)","ISSN":"00222836","PMID":"14698290","abstract":"The repair of double-strand breaks in DNA is an essential process in all organisms, and requires the coordinated activities of evolutionarily conserved protein assemblies. One of the most critical of these is the Mre11/Rad50 (M/R) complex, which is present in all three biological kingdoms, but is not well-understood at the biochemical level. Previous structural analysis of a Rad50 homolog from archaebacteria illuminated the catalytic core of the enzyme, an ATP-binding domain related to the ABC transporter family of ATPases. Here, we present the crystallographic structure of the Rad50 mutant S793R. This missense signature motif mutation changes the key serine residue in the signature motif that is conserved among Rad50 homologs and ABC ATPases. The S793R mutation is analogous to the mutation S549R in the cystic fibrosis transmembrane conductance regulator (CFTR) that results in cystic fibrosis. We show here that the serine to arginine change in the Rad50 protein prevents ATP binding and disrupts the communication among the other ATP-binding loops. This structural change, in turn, alters the communication between Rad50 monomers and thus prevents Rad50 dimerization. The equivalent mutation was made in the human Rad50 gene, and the resulting mutant protein did form a complex with Mre11 and Nbs1, but was specifically deficient in all ATP-dependent enzymatic activities. This signature motif structure-function homology extends to yeast, because the same mutation introduced into the Saccharomyces cerevisiae RAD50 gene generated an allele that failed to complement a rad50 deletion strain in DNA repair assays in vivo. These structural and biochemical results extend our understanding of the Rad50 catalytic domain and validate the use of the signature motif mutant to test the role of Rad50 ATP binding in diverse organisms. ?? 2003 Elsevier Ltd. All rights reserved.","author":[{"dropping-particle":"","family":"Moncalian","given":"Gabriel","non-dropping-particle":"","parse-names":false,"suffix":""},{"dropping-particle":"","family":"Lengsfeld","given":"Bettina","non-dropping-particle":"","parse-names":false,"suffix":""},{"dropping-particle":"","family":"Bhaskara","given":"Venugopal","non-dropping-particle":"","parse-names":false,"suffix":""},{"dropping-particle":"","family":"Hopfner","given":"Karl Peter","non-dropping-particle":"","parse-names":false,"suffix":""},{"dropping-particle":"","family":"Karcher","given":"Annette","non-dropping-particle":"","parse-names":false,"suffix":""},{"dropping-particle":"","family":"Alden","given":"Erinn","non-dropping-particle":"","parse-names":false,"suffix":""},{"dropping-particle":"","family":"Tainer","given":"John A.","non-dropping-particle":"","parse-names":false,"suffix":""},{"dropping-particle":"","family":"Paull","given":"Tanya T.","non-dropping-particle":"","parse-names":false,"suffix":""}],"container-title":"Journal of Molecular Biology","id":"ITEM-1","issue":"4","issued":{"date-parts":[["2004"]]},"page":"937-951","title":"The Rad50 Signature Motif: Essential to ATP Binding and Biological Function","type":"article-journal","volume":"335"},"uris":["http://www.mendeley.com/documents/?uuid=8069d6f2-c8ec-4df3-8b51-2abca48e6e2e"]}],"mendeley":{"formattedCitation":"[15]","plainTextFormattedCitation":"[15]","previouslyFormattedCitation":"[15]"},"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[15]</w:t>
            </w:r>
            <w:r w:rsidRPr="00B415EF">
              <w:rPr>
                <w:rFonts w:ascii="Times New Roman" w:hAnsi="Times New Roman" w:cs="Times New Roman"/>
                <w:sz w:val="18"/>
                <w:szCs w:val="18"/>
              </w:rPr>
              <w:fldChar w:fldCharType="end"/>
            </w:r>
          </w:p>
        </w:tc>
        <w:tc>
          <w:tcPr>
            <w:tcW w:w="1494" w:type="dxa"/>
          </w:tcPr>
          <w:p w14:paraId="6A1A8614" w14:textId="687532D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 &amp; Q loop</w:t>
            </w:r>
          </w:p>
        </w:tc>
        <w:tc>
          <w:tcPr>
            <w:tcW w:w="1634" w:type="dxa"/>
          </w:tcPr>
          <w:p w14:paraId="3174B7C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S793R</w:t>
            </w:r>
          </w:p>
          <w:p w14:paraId="65BB1320" w14:textId="77777777" w:rsidR="0059084B" w:rsidRPr="00B415EF" w:rsidRDefault="0059084B" w:rsidP="0059084B">
            <w:pPr>
              <w:rPr>
                <w:rFonts w:ascii="Times New Roman" w:hAnsi="Times New Roman" w:cs="Times New Roman"/>
                <w:sz w:val="18"/>
                <w:szCs w:val="18"/>
              </w:rPr>
            </w:pPr>
          </w:p>
          <w:p w14:paraId="3A8A57DF" w14:textId="54D9978D"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Q140H</w:t>
            </w:r>
          </w:p>
        </w:tc>
        <w:tc>
          <w:tcPr>
            <w:tcW w:w="8350" w:type="dxa"/>
          </w:tcPr>
          <w:p w14:paraId="4ABA8EBF" w14:textId="77777777" w:rsidR="0059084B" w:rsidRPr="00B415EF" w:rsidRDefault="0059084B" w:rsidP="0059084B">
            <w:pPr>
              <w:pStyle w:val="ListParagraph"/>
              <w:numPr>
                <w:ilvl w:val="0"/>
                <w:numId w:val="20"/>
              </w:numPr>
              <w:rPr>
                <w:rFonts w:ascii="Times New Roman" w:hAnsi="Times New Roman" w:cs="Times New Roman"/>
                <w:sz w:val="18"/>
                <w:szCs w:val="18"/>
              </w:rPr>
            </w:pPr>
            <w:r w:rsidRPr="00B415EF">
              <w:rPr>
                <w:rFonts w:ascii="Times New Roman" w:hAnsi="Times New Roman" w:cs="Times New Roman"/>
                <w:sz w:val="18"/>
                <w:szCs w:val="18"/>
              </w:rPr>
              <w:t xml:space="preserve">S793R=S1202R </w:t>
            </w:r>
            <w:proofErr w:type="spellStart"/>
            <w:proofErr w:type="gramStart"/>
            <w:r w:rsidRPr="00B415EF">
              <w:rPr>
                <w:rFonts w:ascii="Times New Roman" w:hAnsi="Times New Roman" w:cs="Times New Roman"/>
                <w:sz w:val="18"/>
                <w:szCs w:val="18"/>
                <w:vertAlign w:val="superscript"/>
              </w:rPr>
              <w:t>H.sapiens</w:t>
            </w:r>
            <w:proofErr w:type="spellEnd"/>
            <w:proofErr w:type="gramEnd"/>
            <w:r w:rsidRPr="00B415EF">
              <w:rPr>
                <w:rFonts w:ascii="Times New Roman" w:hAnsi="Times New Roman" w:cs="Times New Roman"/>
                <w:sz w:val="18"/>
                <w:szCs w:val="18"/>
              </w:rPr>
              <w:t xml:space="preserve">: </w:t>
            </w:r>
            <w:proofErr w:type="spellStart"/>
            <w:r w:rsidRPr="00B415EF">
              <w:rPr>
                <w:rFonts w:ascii="Times New Roman" w:hAnsi="Times New Roman" w:cs="Times New Roman"/>
                <w:sz w:val="18"/>
                <w:szCs w:val="18"/>
              </w:rPr>
              <w:t>Analogs</w:t>
            </w:r>
            <w:proofErr w:type="spellEnd"/>
            <w:r w:rsidRPr="00B415EF">
              <w:rPr>
                <w:rFonts w:ascii="Times New Roman" w:hAnsi="Times New Roman" w:cs="Times New Roman"/>
                <w:sz w:val="18"/>
                <w:szCs w:val="18"/>
              </w:rPr>
              <w:t xml:space="preserve"> to the mutation in CFTR gene that results cystic fibrosis.</w:t>
            </w:r>
          </w:p>
          <w:p w14:paraId="720307E1" w14:textId="77777777" w:rsidR="0059084B" w:rsidRPr="00B415EF" w:rsidRDefault="0059084B" w:rsidP="0059084B">
            <w:pPr>
              <w:pStyle w:val="ListParagraph"/>
              <w:numPr>
                <w:ilvl w:val="0"/>
                <w:numId w:val="20"/>
              </w:numPr>
              <w:rPr>
                <w:rFonts w:ascii="Times New Roman" w:hAnsi="Times New Roman" w:cs="Times New Roman"/>
                <w:sz w:val="18"/>
                <w:szCs w:val="18"/>
              </w:rPr>
            </w:pPr>
            <w:r w:rsidRPr="00B415EF">
              <w:rPr>
                <w:rFonts w:ascii="Times New Roman" w:hAnsi="Times New Roman" w:cs="Times New Roman"/>
                <w:sz w:val="18"/>
                <w:szCs w:val="18"/>
              </w:rPr>
              <w:t xml:space="preserve">S793R: This mutation prevent ATP binding &amp; disrupts the communication among the other ATP loops. </w:t>
            </w:r>
            <w:proofErr w:type="gramStart"/>
            <w:r w:rsidRPr="00B415EF">
              <w:rPr>
                <w:rFonts w:ascii="Times New Roman" w:hAnsi="Times New Roman" w:cs="Times New Roman"/>
                <w:sz w:val="18"/>
                <w:szCs w:val="18"/>
              </w:rPr>
              <w:t>This structural changes</w:t>
            </w:r>
            <w:proofErr w:type="gramEnd"/>
            <w:r w:rsidRPr="00B415EF">
              <w:rPr>
                <w:rFonts w:ascii="Times New Roman" w:hAnsi="Times New Roman" w:cs="Times New Roman"/>
                <w:sz w:val="18"/>
                <w:szCs w:val="18"/>
              </w:rPr>
              <w:t xml:space="preserve">, in turn, </w:t>
            </w:r>
            <w:proofErr w:type="spellStart"/>
            <w:r w:rsidRPr="00B415EF">
              <w:rPr>
                <w:rFonts w:ascii="Times New Roman" w:hAnsi="Times New Roman" w:cs="Times New Roman"/>
                <w:sz w:val="18"/>
                <w:szCs w:val="18"/>
              </w:rPr>
              <w:t>altrs</w:t>
            </w:r>
            <w:proofErr w:type="spellEnd"/>
            <w:r w:rsidRPr="00B415EF">
              <w:rPr>
                <w:rFonts w:ascii="Times New Roman" w:hAnsi="Times New Roman" w:cs="Times New Roman"/>
                <w:sz w:val="18"/>
                <w:szCs w:val="18"/>
              </w:rPr>
              <w:t xml:space="preserve"> </w:t>
            </w:r>
            <w:proofErr w:type="spellStart"/>
            <w:r w:rsidRPr="00B415EF">
              <w:rPr>
                <w:rFonts w:ascii="Times New Roman" w:hAnsi="Times New Roman" w:cs="Times New Roman"/>
                <w:sz w:val="18"/>
                <w:szCs w:val="18"/>
              </w:rPr>
              <w:t>th</w:t>
            </w:r>
            <w:proofErr w:type="spellEnd"/>
            <w:r w:rsidRPr="00B415EF">
              <w:rPr>
                <w:rFonts w:ascii="Times New Roman" w:hAnsi="Times New Roman" w:cs="Times New Roman"/>
                <w:sz w:val="18"/>
                <w:szCs w:val="18"/>
              </w:rPr>
              <w:t xml:space="preserve"> interaction among rad50 monomers and thus prevents Rad50 dimerization.</w:t>
            </w:r>
          </w:p>
          <w:p w14:paraId="7952426A" w14:textId="77777777" w:rsidR="0059084B" w:rsidRPr="00B415EF" w:rsidRDefault="0059084B" w:rsidP="0059084B">
            <w:pPr>
              <w:pStyle w:val="ListParagraph"/>
              <w:numPr>
                <w:ilvl w:val="0"/>
                <w:numId w:val="20"/>
              </w:numPr>
              <w:rPr>
                <w:rFonts w:ascii="Times New Roman" w:hAnsi="Times New Roman" w:cs="Times New Roman"/>
                <w:sz w:val="18"/>
                <w:szCs w:val="18"/>
              </w:rPr>
            </w:pPr>
            <w:r w:rsidRPr="00B415EF">
              <w:rPr>
                <w:rFonts w:ascii="Times New Roman" w:hAnsi="Times New Roman" w:cs="Times New Roman"/>
                <w:sz w:val="18"/>
                <w:szCs w:val="18"/>
              </w:rPr>
              <w:t xml:space="preserve">S1202R: In human genes; mutant protein did form MRN complex but significantly </w:t>
            </w:r>
            <w:proofErr w:type="spellStart"/>
            <w:r w:rsidRPr="00B415EF">
              <w:rPr>
                <w:rFonts w:ascii="Times New Roman" w:hAnsi="Times New Roman" w:cs="Times New Roman"/>
                <w:sz w:val="18"/>
                <w:szCs w:val="18"/>
              </w:rPr>
              <w:t>dificient</w:t>
            </w:r>
            <w:proofErr w:type="spellEnd"/>
            <w:r w:rsidRPr="00B415EF">
              <w:rPr>
                <w:rFonts w:ascii="Times New Roman" w:hAnsi="Times New Roman" w:cs="Times New Roman"/>
                <w:sz w:val="18"/>
                <w:szCs w:val="18"/>
              </w:rPr>
              <w:t xml:space="preserve"> in all ATP-dependent enzymatic activities.</w:t>
            </w:r>
          </w:p>
          <w:p w14:paraId="63CACA20" w14:textId="77777777" w:rsidR="0059084B" w:rsidRPr="00B415EF" w:rsidRDefault="0059084B" w:rsidP="0059084B">
            <w:pPr>
              <w:pStyle w:val="ListParagraph"/>
              <w:numPr>
                <w:ilvl w:val="0"/>
                <w:numId w:val="20"/>
              </w:numPr>
              <w:rPr>
                <w:rFonts w:ascii="Times New Roman" w:hAnsi="Times New Roman" w:cs="Times New Roman"/>
                <w:sz w:val="18"/>
                <w:szCs w:val="18"/>
              </w:rPr>
            </w:pPr>
            <w:r w:rsidRPr="00B415EF">
              <w:rPr>
                <w:rFonts w:ascii="Times New Roman" w:hAnsi="Times New Roman" w:cs="Times New Roman"/>
                <w:sz w:val="18"/>
                <w:szCs w:val="18"/>
              </w:rPr>
              <w:t>S1205R</w:t>
            </w:r>
            <w:r w:rsidRPr="00B415EF">
              <w:t xml:space="preserve"> </w:t>
            </w:r>
            <w:r w:rsidRPr="00B415EF">
              <w:rPr>
                <w:rFonts w:ascii="Times New Roman" w:hAnsi="Times New Roman" w:cs="Times New Roman"/>
                <w:sz w:val="18"/>
                <w:szCs w:val="18"/>
                <w:vertAlign w:val="superscript"/>
              </w:rPr>
              <w:t>S. cerevisiae</w:t>
            </w:r>
            <w:r w:rsidRPr="00B415EF">
              <w:rPr>
                <w:rFonts w:ascii="Times New Roman" w:hAnsi="Times New Roman" w:cs="Times New Roman"/>
                <w:sz w:val="18"/>
                <w:szCs w:val="18"/>
              </w:rPr>
              <w:t>: Failed to complement Rad50 deletion strain in DNA repair assay in vivo.</w:t>
            </w:r>
          </w:p>
          <w:p w14:paraId="2DAA2717" w14:textId="75B923E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Q159H &amp; S1202R: Mutant exhibited normal exonuclease &amp; endonuclease activity, while all of the ATP-dependent activities of the complex were completely abrogated.</w:t>
            </w:r>
          </w:p>
        </w:tc>
        <w:tc>
          <w:tcPr>
            <w:tcW w:w="1498" w:type="dxa"/>
          </w:tcPr>
          <w:p w14:paraId="7316EBE8" w14:textId="53EC5C9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p w14:paraId="51651EEA" w14:textId="77777777" w:rsidR="0059084B" w:rsidRPr="00B415EF" w:rsidRDefault="0059084B" w:rsidP="0059084B">
            <w:pPr>
              <w:rPr>
                <w:rFonts w:ascii="Times New Roman" w:hAnsi="Times New Roman" w:cs="Times New Roman"/>
                <w:sz w:val="18"/>
                <w:szCs w:val="18"/>
              </w:rPr>
            </w:pPr>
          </w:p>
          <w:p w14:paraId="2F5FC5C2"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Q159H</w:t>
            </w:r>
          </w:p>
        </w:tc>
      </w:tr>
      <w:tr w:rsidR="0059084B" w:rsidRPr="00B415EF" w14:paraId="31462A6E" w14:textId="77777777" w:rsidTr="0059084B">
        <w:tc>
          <w:tcPr>
            <w:tcW w:w="1336" w:type="dxa"/>
          </w:tcPr>
          <w:p w14:paraId="69DFC06D" w14:textId="6B4D37DB"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T4 bacteriophage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{"citationItems":[{"id":"ITEM-1","itemData":{"DOI":"10.1021/bi200184w","ISSN":"00062960","PMID":"21675703","abstract":"The repair of DNA double-strand breaks (DSBs) is essential to maintaining the integrity of the genome, and organisms have evolved a conserved mechanism to facilitate their repair. In eukaryotes, archaea, and some bacteriophage, a complex made up of Mre11 and Rad50 (MR complex), which are a nuclease and ATPase, respectively, is involved in the initial processing of DSBs. Rad50 is a member of the ATP Binding Cassette (ABC) protein superfamily, the members of which contain an important Signature motif that acts in trans to complete the dimeric ATP binding site. To explore the functional relevance of this motif, four of its five residues were mutated in bacteriophage T4 Rad50, and their respective ATPase and nuclease activities were evaluated. The mutations reveal the functional roles of the Signature motif in ATP binding, hydrolysis, and cooperativity. In several mutants, the degree of DNA activation of ATP hydrolysis activity is reduced, indicating that the Signature motif is involved in allosteric signal transmission between the DNA and ATP binding sites of the MR complex. ATP hydrolysis is not required for nuclease activity when the probe is near the beginning of the DNA substrate; however, when an internal probe is used, decreases in ATPase activity have substantial effects on nuclease activity, suggesting that ATP hydrolysis is involved in translocation of the complex. Unexpectedly, the ATP hydrolysis and nuclease activities are not directly correlated with each other, and each mutation appears to differentially affect the exonuclease activity of Mre11.","author":[{"dropping-particle":"","family":"Herdendorf","given":"Timothy J.","non-dropping-particle":"","parse-names":false,"suffix":""},{"dropping-particle":"","family":"Nelson","given":"Scott W.","non-dropping-particle":"","parse-names":false,"suffix":""}],"container-title":"Biochemistry","id":"ITEM-1","issue":"27","issued":{"date-parts":[["2011"]]},"page":"6030-6040","title":"Functional evaluation of bacteriophage T4 Rad50 signature motif residues","type":"article-journal","volume":"50"},"uris":["http://www.mendeley.com/documents/?uuid=946d9186-4def-4571-a3bd-245e3fc1fc67"]}],"mendeley":{"formattedCitation":"[16]","plainTextFormattedCitation":"[16]","previouslyFormattedCitation":"[16]"},"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[16]</w:t>
            </w:r>
            <w:r w:rsidRPr="00B415EF">
              <w:rPr>
                <w:rFonts w:ascii="Times New Roman" w:hAnsi="Times New Roman" w:cs="Times New Roman"/>
                <w:sz w:val="18"/>
                <w:szCs w:val="18"/>
              </w:rPr>
              <w:fldChar w:fldCharType="end"/>
            </w:r>
          </w:p>
        </w:tc>
        <w:tc>
          <w:tcPr>
            <w:tcW w:w="1494" w:type="dxa"/>
          </w:tcPr>
          <w:p w14:paraId="2DB7A433" w14:textId="732BC4F5"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w:t>
            </w:r>
          </w:p>
        </w:tc>
        <w:tc>
          <w:tcPr>
            <w:tcW w:w="1634" w:type="dxa"/>
          </w:tcPr>
          <w:p w14:paraId="3A97EFC3"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S471A</w:t>
            </w:r>
          </w:p>
          <w:p w14:paraId="71D5E91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S471R</w:t>
            </w:r>
          </w:p>
          <w:p w14:paraId="365D4FE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S471M</w:t>
            </w:r>
          </w:p>
          <w:p w14:paraId="34D05F7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E472G</w:t>
            </w:r>
          </w:p>
          <w:p w14:paraId="38EB1154"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E474Q</w:t>
            </w:r>
          </w:p>
          <w:p w14:paraId="587ADC0F" w14:textId="2D0486BA"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K475M</w:t>
            </w:r>
          </w:p>
        </w:tc>
        <w:tc>
          <w:tcPr>
            <w:tcW w:w="8350" w:type="dxa"/>
          </w:tcPr>
          <w:p w14:paraId="5AA480C2" w14:textId="77777777" w:rsidR="0059084B" w:rsidRPr="00B415EF" w:rsidRDefault="0059084B" w:rsidP="0059084B">
            <w:pPr>
              <w:pStyle w:val="ListParagraph"/>
              <w:numPr>
                <w:ilvl w:val="0"/>
                <w:numId w:val="21"/>
              </w:numPr>
              <w:rPr>
                <w:rFonts w:ascii="Times New Roman" w:hAnsi="Times New Roman" w:cs="Times New Roman"/>
                <w:sz w:val="18"/>
                <w:szCs w:val="18"/>
              </w:rPr>
            </w:pPr>
            <w:r w:rsidRPr="00B415EF">
              <w:rPr>
                <w:rFonts w:ascii="Times New Roman" w:hAnsi="Times New Roman" w:cs="Times New Roman"/>
                <w:sz w:val="18"/>
                <w:szCs w:val="18"/>
              </w:rPr>
              <w:t xml:space="preserve">S471A, S471R &amp;S471M: Reduced the level of DNA activation of ATPase suggesting </w:t>
            </w:r>
            <w:proofErr w:type="gramStart"/>
            <w:r w:rsidRPr="00B415EF">
              <w:rPr>
                <w:rFonts w:ascii="Times New Roman" w:hAnsi="Times New Roman" w:cs="Times New Roman"/>
                <w:sz w:val="18"/>
                <w:szCs w:val="18"/>
              </w:rPr>
              <w:t>this residues</w:t>
            </w:r>
            <w:proofErr w:type="gramEnd"/>
            <w:r w:rsidRPr="00B415EF">
              <w:rPr>
                <w:rFonts w:ascii="Times New Roman" w:hAnsi="Times New Roman" w:cs="Times New Roman"/>
                <w:sz w:val="18"/>
                <w:szCs w:val="18"/>
              </w:rPr>
              <w:t xml:space="preserve"> involved in the allosteric transmission between DNA &amp; ATP binding sites. Decreased ATP cooperativity is </w:t>
            </w:r>
            <w:proofErr w:type="gramStart"/>
            <w:r w:rsidRPr="00B415EF">
              <w:rPr>
                <w:rFonts w:ascii="Times New Roman" w:hAnsi="Times New Roman" w:cs="Times New Roman"/>
                <w:sz w:val="18"/>
                <w:szCs w:val="18"/>
              </w:rPr>
              <w:t>vary</w:t>
            </w:r>
            <w:proofErr w:type="gramEnd"/>
            <w:r w:rsidRPr="00B415EF">
              <w:rPr>
                <w:rFonts w:ascii="Times New Roman" w:hAnsi="Times New Roman" w:cs="Times New Roman"/>
                <w:sz w:val="18"/>
                <w:szCs w:val="18"/>
              </w:rPr>
              <w:t xml:space="preserve"> depend on the side chain alteration; indicated that signature motif involved in communication between ATP site.</w:t>
            </w:r>
          </w:p>
          <w:p w14:paraId="73EC72E8" w14:textId="77777777" w:rsidR="0059084B" w:rsidRPr="00B415EF" w:rsidRDefault="0059084B" w:rsidP="0059084B">
            <w:pPr>
              <w:pStyle w:val="ListParagraph"/>
              <w:numPr>
                <w:ilvl w:val="0"/>
                <w:numId w:val="21"/>
              </w:numPr>
              <w:rPr>
                <w:rFonts w:ascii="Times New Roman" w:hAnsi="Times New Roman" w:cs="Times New Roman"/>
                <w:sz w:val="18"/>
                <w:szCs w:val="18"/>
              </w:rPr>
            </w:pPr>
            <w:r w:rsidRPr="00B415EF">
              <w:rPr>
                <w:rFonts w:ascii="Times New Roman" w:hAnsi="Times New Roman" w:cs="Times New Roman"/>
                <w:sz w:val="18"/>
                <w:szCs w:val="18"/>
              </w:rPr>
              <w:t>Same finding for E474Q and K475M.</w:t>
            </w:r>
          </w:p>
          <w:p w14:paraId="6AB1CD1B" w14:textId="510125B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E472G: No effect on DNA activation.</w:t>
            </w:r>
          </w:p>
        </w:tc>
        <w:tc>
          <w:tcPr>
            <w:tcW w:w="1498" w:type="dxa"/>
          </w:tcPr>
          <w:p w14:paraId="47E602B1" w14:textId="73AA635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S1202A</w:t>
            </w:r>
          </w:p>
          <w:p w14:paraId="5E022C1F"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p w14:paraId="146389B7"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S1202M</w:t>
            </w:r>
          </w:p>
          <w:p w14:paraId="49A6ECE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A1203G</w:t>
            </w:r>
          </w:p>
          <w:p w14:paraId="23DB0EF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Q1205E</w:t>
            </w:r>
          </w:p>
          <w:p w14:paraId="25DA0AA6"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K1206M</w:t>
            </w:r>
          </w:p>
        </w:tc>
      </w:tr>
      <w:tr w:rsidR="0059084B" w:rsidRPr="00B415EF" w14:paraId="609A4137" w14:textId="77777777" w:rsidTr="0059084B">
        <w:tc>
          <w:tcPr>
            <w:tcW w:w="1336" w:type="dxa"/>
          </w:tcPr>
          <w:p w14:paraId="56C83BB2" w14:textId="77777777" w:rsidR="0059084B" w:rsidRPr="00B415EF" w:rsidRDefault="0059084B" w:rsidP="0059084B">
            <w:pPr>
              <w:rPr>
                <w:rFonts w:ascii="Times New Roman" w:hAnsi="Times New Roman" w:cs="Times New Roman"/>
                <w:i/>
                <w:sz w:val="18"/>
                <w:szCs w:val="18"/>
              </w:rPr>
            </w:pPr>
            <w:r w:rsidRPr="00B415EF">
              <w:rPr>
                <w:rFonts w:ascii="Times New Roman" w:hAnsi="Times New Roman" w:cs="Times New Roman"/>
                <w:i/>
                <w:sz w:val="18"/>
                <w:szCs w:val="18"/>
              </w:rPr>
              <w:t>Saccharomyces cerevisiae</w:t>
            </w:r>
          </w:p>
          <w:p w14:paraId="5AA70B4E" w14:textId="77777777" w:rsidR="0059084B" w:rsidRPr="00B415EF" w:rsidRDefault="0059084B" w:rsidP="0059084B">
            <w:pPr>
              <w:rPr>
                <w:rFonts w:ascii="Times New Roman" w:hAnsi="Times New Roman" w:cs="Times New Roman"/>
                <w:i/>
                <w:sz w:val="18"/>
                <w:szCs w:val="18"/>
              </w:rPr>
            </w:pPr>
          </w:p>
          <w:p w14:paraId="5569A1E6" w14:textId="77777777" w:rsidR="0059084B" w:rsidRPr="00B415EF" w:rsidRDefault="0059084B" w:rsidP="0059084B">
            <w:pPr>
              <w:rPr>
                <w:rFonts w:ascii="Times New Roman" w:hAnsi="Times New Roman" w:cs="Times New Roman"/>
                <w:i/>
                <w:sz w:val="18"/>
                <w:szCs w:val="18"/>
              </w:rPr>
            </w:pPr>
            <w:proofErr w:type="spellStart"/>
            <w:r w:rsidRPr="00B415EF">
              <w:rPr>
                <w:rFonts w:ascii="Times New Roman" w:hAnsi="Times New Roman" w:cs="Times New Roman"/>
                <w:i/>
                <w:sz w:val="18"/>
                <w:szCs w:val="18"/>
              </w:rPr>
              <w:t>Pyrococcus</w:t>
            </w:r>
            <w:proofErr w:type="spellEnd"/>
            <w:r w:rsidRPr="00B415EF">
              <w:rPr>
                <w:rFonts w:ascii="Times New Roman" w:hAnsi="Times New Roman" w:cs="Times New Roman"/>
                <w:i/>
                <w:sz w:val="18"/>
                <w:szCs w:val="18"/>
              </w:rPr>
              <w:t xml:space="preserve"> </w:t>
            </w:r>
            <w:proofErr w:type="spellStart"/>
            <w:r w:rsidRPr="00B415EF">
              <w:rPr>
                <w:rFonts w:ascii="Times New Roman" w:hAnsi="Times New Roman" w:cs="Times New Roman"/>
                <w:i/>
                <w:sz w:val="18"/>
                <w:szCs w:val="18"/>
              </w:rPr>
              <w:t>furiosus</w:t>
            </w:r>
            <w:proofErr w:type="spellEnd"/>
          </w:p>
          <w:p w14:paraId="5074EA57" w14:textId="77777777" w:rsidR="0059084B" w:rsidRPr="00B415EF" w:rsidRDefault="0059084B" w:rsidP="0059084B">
            <w:pPr>
              <w:rPr>
                <w:rFonts w:ascii="Times New Roman" w:hAnsi="Times New Roman" w:cs="Times New Roman"/>
                <w:i/>
                <w:sz w:val="18"/>
                <w:szCs w:val="18"/>
              </w:rPr>
            </w:pPr>
          </w:p>
          <w:p w14:paraId="304EFA20" w14:textId="77777777" w:rsidR="0059084B" w:rsidRPr="00B415EF" w:rsidRDefault="0059084B" w:rsidP="0059084B">
            <w:pPr>
              <w:rPr>
                <w:rFonts w:ascii="Times New Roman" w:hAnsi="Times New Roman" w:cs="Times New Roman"/>
                <w:i/>
                <w:sz w:val="18"/>
                <w:szCs w:val="18"/>
              </w:rPr>
            </w:pPr>
          </w:p>
          <w:p w14:paraId="2A0C30DE" w14:textId="77777777" w:rsidR="0059084B" w:rsidRPr="00B415EF" w:rsidRDefault="0059084B" w:rsidP="0059084B">
            <w:pPr>
              <w:rPr>
                <w:rFonts w:ascii="Times New Roman" w:hAnsi="Times New Roman" w:cs="Times New Roman"/>
                <w:i/>
                <w:sz w:val="18"/>
                <w:szCs w:val="18"/>
              </w:rPr>
            </w:pPr>
            <w:r w:rsidRPr="00B415EF">
              <w:rPr>
                <w:rFonts w:ascii="Times New Roman" w:hAnsi="Times New Roman" w:cs="Times New Roman"/>
                <w:i/>
                <w:sz w:val="18"/>
                <w:szCs w:val="18"/>
              </w:rPr>
              <w:t>Homo sapiens</w:t>
            </w:r>
          </w:p>
          <w:p w14:paraId="265902F4" w14:textId="77777777" w:rsidR="0059084B" w:rsidRPr="00B415EF" w:rsidRDefault="0059084B" w:rsidP="0059084B">
            <w:pPr>
              <w:rPr>
                <w:rFonts w:ascii="Times New Roman" w:hAnsi="Times New Roman" w:cs="Times New Roman"/>
                <w:sz w:val="18"/>
                <w:szCs w:val="18"/>
              </w:rPr>
            </w:pPr>
          </w:p>
          <w:p w14:paraId="60DE7464" w14:textId="2C88C51E"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{"citationItems":[{"id":"ITEM-1","itemData":{"DOI":"10.1016/j.molcel.2007.01.028","ISBN":"1097-2765 (Print)\\r1097-2765 (Linking)","ISSN":"10972765","PMID":"17349953","abstract":"Mre11 and Rad50 are the catalytic components of a highly conserved DNA repair complex that functions in many aspects of DNA metabolism involving double-strand breaks. The ATPase domains in Rad50 are related to the ABC transporter family of ATPases, previously shown to share structural similarities with adenylate kinases. Here we demonstrate that Mre11/Rad50 complexes from three organisms catalyze the reversible adenylate kinase reaction in vitro. Mutation of the conserved signature motif reduces the adenylate kinase activity of Rad50 but does not reduce ATP hydrolysis. This mutant resembles a rad50 null strain with respect to meiosis and telomere maintenance in S. cerevisiae, correlating adenylate kinase activity with in vivo functions. An adenylate kinase inhibitor blocks Mre11/Rad50-dependent DNA tethering in vitro and in cell-free extracts, indicating that adenylate kinase activity by Mre11/Rad50 promotes DNA-DNA associations. We propose a model for Rad50 that incorporates both ATPase and adenylate kinase reactions as critical activities that regulate Rad50 functions. ?? 2007 Elsevier Inc. All rights reserved.","author":[{"dropping-particle":"","family":"Bhaskara","given":"Venugopal","non-dropping-particle":"","parse-names":false,"suffix":""},{"dropping-particle":"","family":"Dupr","given":"Aude","non-dropping-particle":"","parse-names":false,"suffix":""},{"dropping-particle":"","family":"Lengsfeld","given":"Bettina","non-dropping-particle":"","parse-names":false,"suffix":""},{"dropping-particle":"","family":"Hopkins","given":"Ben B.","non-dropping-particle":"","parse-names":false,"suffix":""},{"dropping-particle":"","family":"Chan","given":"Angela","non-dropping-particle":"","parse-names":false,"suffix":""},{"dropping-particle":"","family":"Lee","given":"Ji Hoon","non-dropping-particle":"","parse-names":false,"suffix":""},{"dropping-particle":"","family":"Zhang","given":"Xiaoming","non-dropping-particle":"","parse-names":false,"suffix":""},{"dropping-particle":"","family":"Gautier","given":"Jean","non-dropping-particle":"","parse-names":false,"suffix":""},{"dropping-particle":"","family":"Zakian","given":"Virginia","non-dropping-particle":"","parse-names":false,"suffix":""},{"dropping-particle":"","family":"Paull","given":"Tanya T.","non-dropping-particle":"","parse-names":false,"suffix":""}],"container-title":"Molecular Cell","id":"ITEM-1","issue":"5","issued":{"date-parts":[["2007"]]},"page":"647-661","title":"Rad50 Adenylate Kinase Activity Regulates DNA Tethering by Mre11/Rad50 Complexes","type":"article-journal","volume":"25"},"uris":["http://www.mendeley.com/documents/?uuid=3ee69e3b-7ffc-417d-94e5-06bb77377988"]}],"mendeley":{"formattedCitation":"[17]","plainTextFormattedCitation":"[17]","previouslyFormattedCitation":"[17]"},"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[17]</w:t>
            </w:r>
            <w:r w:rsidRPr="00B415EF">
              <w:rPr>
                <w:rFonts w:ascii="Times New Roman" w:hAnsi="Times New Roman" w:cs="Times New Roman"/>
                <w:sz w:val="18"/>
                <w:szCs w:val="18"/>
              </w:rPr>
              <w:fldChar w:fldCharType="end"/>
            </w:r>
          </w:p>
        </w:tc>
        <w:tc>
          <w:tcPr>
            <w:tcW w:w="1494" w:type="dxa"/>
          </w:tcPr>
          <w:p w14:paraId="4D516230" w14:textId="712FD1F4"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Signature motif</w:t>
            </w:r>
          </w:p>
        </w:tc>
        <w:tc>
          <w:tcPr>
            <w:tcW w:w="1634" w:type="dxa"/>
          </w:tcPr>
          <w:p w14:paraId="21B164CA"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S1205R</w:t>
            </w:r>
          </w:p>
          <w:p w14:paraId="2D745D58" w14:textId="77777777" w:rsidR="0059084B" w:rsidRPr="00B415EF" w:rsidRDefault="0059084B" w:rsidP="0059084B">
            <w:pPr>
              <w:rPr>
                <w:rFonts w:ascii="Times New Roman" w:hAnsi="Times New Roman" w:cs="Times New Roman"/>
                <w:sz w:val="18"/>
                <w:szCs w:val="18"/>
              </w:rPr>
            </w:pPr>
          </w:p>
          <w:p w14:paraId="642DC924" w14:textId="77777777" w:rsidR="0059084B" w:rsidRPr="00B415EF" w:rsidRDefault="0059084B" w:rsidP="0059084B">
            <w:pPr>
              <w:rPr>
                <w:rFonts w:ascii="Times New Roman" w:hAnsi="Times New Roman" w:cs="Times New Roman"/>
                <w:sz w:val="18"/>
                <w:szCs w:val="18"/>
              </w:rPr>
            </w:pPr>
          </w:p>
          <w:p w14:paraId="4B8A518E"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S793R</w:t>
            </w:r>
          </w:p>
          <w:p w14:paraId="14678882" w14:textId="77777777" w:rsidR="0059084B" w:rsidRPr="00B415EF" w:rsidRDefault="0059084B" w:rsidP="0059084B">
            <w:pPr>
              <w:rPr>
                <w:rFonts w:ascii="Times New Roman" w:hAnsi="Times New Roman" w:cs="Times New Roman"/>
                <w:sz w:val="18"/>
                <w:szCs w:val="18"/>
              </w:rPr>
            </w:pPr>
          </w:p>
          <w:p w14:paraId="62ECA77C" w14:textId="77777777" w:rsidR="0059084B" w:rsidRPr="00B415EF" w:rsidRDefault="0059084B" w:rsidP="0059084B">
            <w:pPr>
              <w:rPr>
                <w:rFonts w:ascii="Times New Roman" w:hAnsi="Times New Roman" w:cs="Times New Roman"/>
                <w:sz w:val="18"/>
                <w:szCs w:val="18"/>
              </w:rPr>
            </w:pPr>
          </w:p>
          <w:p w14:paraId="2BE22C18" w14:textId="77777777" w:rsidR="0059084B" w:rsidRPr="00B415EF" w:rsidRDefault="0059084B" w:rsidP="0059084B">
            <w:pPr>
              <w:rPr>
                <w:rFonts w:ascii="Times New Roman" w:hAnsi="Times New Roman" w:cs="Times New Roman"/>
                <w:sz w:val="18"/>
                <w:szCs w:val="18"/>
              </w:rPr>
            </w:pPr>
          </w:p>
          <w:p w14:paraId="00829EA9" w14:textId="1EC26BB6"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tc>
        <w:tc>
          <w:tcPr>
            <w:tcW w:w="8350" w:type="dxa"/>
          </w:tcPr>
          <w:p w14:paraId="3410CC00"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Mutation at conserved SM (S1202R) reduced adenylate kinase activity for DNA tethering reaction but proficient in ATP hydrolysis. This mutant resembles Rad50 null strain in term of meiosis and telomere maintenance in S. cerevisiae</w:t>
            </w:r>
          </w:p>
          <w:p w14:paraId="036EF2C5"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 xml:space="preserve">S793R: Found </w:t>
            </w:r>
            <w:proofErr w:type="spellStart"/>
            <w:r w:rsidRPr="00B415EF">
              <w:rPr>
                <w:rFonts w:ascii="Times New Roman" w:hAnsi="Times New Roman" w:cs="Times New Roman"/>
                <w:sz w:val="18"/>
                <w:szCs w:val="18"/>
              </w:rPr>
              <w:t>dificient</w:t>
            </w:r>
            <w:proofErr w:type="spellEnd"/>
            <w:r w:rsidRPr="00B415EF">
              <w:rPr>
                <w:rFonts w:ascii="Times New Roman" w:hAnsi="Times New Roman" w:cs="Times New Roman"/>
                <w:sz w:val="18"/>
                <w:szCs w:val="18"/>
              </w:rPr>
              <w:t xml:space="preserve"> in ATP-dependent dimer formation &amp; ATP binding (</w:t>
            </w:r>
            <w:proofErr w:type="spellStart"/>
            <w:r w:rsidRPr="00B415EF">
              <w:rPr>
                <w:rFonts w:ascii="Times New Roman" w:hAnsi="Times New Roman" w:cs="Times New Roman"/>
                <w:sz w:val="18"/>
                <w:szCs w:val="18"/>
              </w:rPr>
              <w:t>Hofner</w:t>
            </w:r>
            <w:proofErr w:type="spellEnd"/>
            <w:r w:rsidRPr="00B415EF">
              <w:rPr>
                <w:rFonts w:ascii="Times New Roman" w:hAnsi="Times New Roman" w:cs="Times New Roman"/>
                <w:sz w:val="18"/>
                <w:szCs w:val="18"/>
              </w:rPr>
              <w:t xml:space="preserve"> et al. 2004). Previous finding; low affinity to ATP (</w:t>
            </w:r>
            <w:proofErr w:type="spellStart"/>
            <w:r w:rsidRPr="00B415EF">
              <w:rPr>
                <w:rFonts w:ascii="Times New Roman" w:hAnsi="Times New Roman" w:cs="Times New Roman"/>
                <w:sz w:val="18"/>
                <w:szCs w:val="18"/>
              </w:rPr>
              <w:t>Moncalian</w:t>
            </w:r>
            <w:proofErr w:type="spellEnd"/>
            <w:r w:rsidRPr="00B415EF">
              <w:rPr>
                <w:rFonts w:ascii="Times New Roman" w:hAnsi="Times New Roman" w:cs="Times New Roman"/>
                <w:sz w:val="18"/>
                <w:szCs w:val="18"/>
              </w:rPr>
              <w:t xml:space="preserve"> et al. 2004).</w:t>
            </w:r>
          </w:p>
          <w:p w14:paraId="52643014"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S793R: This mutation was modelled after an analogous mutation in CFTR (S549R) that results in cystic fibrosis (</w:t>
            </w:r>
            <w:proofErr w:type="spellStart"/>
            <w:r w:rsidRPr="00B415EF">
              <w:rPr>
                <w:rFonts w:ascii="Times New Roman" w:hAnsi="Times New Roman" w:cs="Times New Roman"/>
                <w:sz w:val="18"/>
                <w:szCs w:val="18"/>
              </w:rPr>
              <w:t>Kerem</w:t>
            </w:r>
            <w:proofErr w:type="spellEnd"/>
            <w:r w:rsidRPr="00B415EF">
              <w:rPr>
                <w:rFonts w:ascii="Times New Roman" w:hAnsi="Times New Roman" w:cs="Times New Roman"/>
                <w:sz w:val="18"/>
                <w:szCs w:val="18"/>
              </w:rPr>
              <w:t xml:space="preserve"> et al. 1989).</w:t>
            </w:r>
          </w:p>
          <w:p w14:paraId="6895582A"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 xml:space="preserve">Compared to P. </w:t>
            </w:r>
            <w:proofErr w:type="spellStart"/>
            <w:r w:rsidRPr="00B415EF">
              <w:rPr>
                <w:rFonts w:ascii="Times New Roman" w:hAnsi="Times New Roman" w:cs="Times New Roman"/>
                <w:sz w:val="18"/>
                <w:szCs w:val="18"/>
              </w:rPr>
              <w:t>furiosus</w:t>
            </w:r>
            <w:proofErr w:type="spellEnd"/>
            <w:r w:rsidRPr="00B415EF">
              <w:rPr>
                <w:rFonts w:ascii="Times New Roman" w:hAnsi="Times New Roman" w:cs="Times New Roman"/>
                <w:sz w:val="18"/>
                <w:szCs w:val="18"/>
              </w:rPr>
              <w:t xml:space="preserve">; equivalent mutation in S1202R </w:t>
            </w:r>
            <w:r w:rsidRPr="00B415EF">
              <w:rPr>
                <w:rFonts w:ascii="Times New Roman" w:hAnsi="Times New Roman" w:cs="Times New Roman"/>
                <w:sz w:val="18"/>
                <w:szCs w:val="18"/>
                <w:vertAlign w:val="superscript"/>
              </w:rPr>
              <w:t>H. sapiens</w:t>
            </w:r>
            <w:r w:rsidRPr="00B415EF">
              <w:rPr>
                <w:rFonts w:ascii="Times New Roman" w:hAnsi="Times New Roman" w:cs="Times New Roman"/>
                <w:sz w:val="18"/>
                <w:szCs w:val="18"/>
              </w:rPr>
              <w:t xml:space="preserve"> and S1205 </w:t>
            </w:r>
            <w:r w:rsidRPr="00B415EF">
              <w:rPr>
                <w:rFonts w:ascii="Times New Roman" w:hAnsi="Times New Roman" w:cs="Times New Roman"/>
                <w:sz w:val="18"/>
                <w:szCs w:val="18"/>
                <w:vertAlign w:val="superscript"/>
              </w:rPr>
              <w:t>S. cerevisiae</w:t>
            </w:r>
            <w:r w:rsidRPr="00B415EF">
              <w:rPr>
                <w:rFonts w:ascii="Times New Roman" w:hAnsi="Times New Roman" w:cs="Times New Roman"/>
                <w:sz w:val="18"/>
                <w:szCs w:val="18"/>
              </w:rPr>
              <w:t xml:space="preserve"> do not inhibit ATPase activity.</w:t>
            </w:r>
          </w:p>
          <w:p w14:paraId="4464287C"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S1202R &amp; S1205R: Level of adenylate kinase significantly (10-12 fold) lower than WT.</w:t>
            </w:r>
          </w:p>
          <w:p w14:paraId="51720618" w14:textId="77777777" w:rsidR="0059084B" w:rsidRPr="00B415EF" w:rsidRDefault="0059084B" w:rsidP="0059084B">
            <w:pPr>
              <w:pStyle w:val="ListParagraph"/>
              <w:numPr>
                <w:ilvl w:val="0"/>
                <w:numId w:val="22"/>
              </w:numPr>
              <w:rPr>
                <w:rFonts w:ascii="Times New Roman" w:hAnsi="Times New Roman" w:cs="Times New Roman"/>
                <w:sz w:val="18"/>
                <w:szCs w:val="18"/>
              </w:rPr>
            </w:pPr>
            <w:r w:rsidRPr="00B415EF">
              <w:rPr>
                <w:rFonts w:ascii="Times New Roman" w:hAnsi="Times New Roman" w:cs="Times New Roman"/>
                <w:sz w:val="18"/>
                <w:szCs w:val="18"/>
              </w:rPr>
              <w:t>S1205R: Its phenotype equivalent to null Rad50 mutation in yeast which respect to MMS &amp; bleomycin resistance (</w:t>
            </w:r>
            <w:proofErr w:type="spellStart"/>
            <w:r w:rsidRPr="00B415EF">
              <w:rPr>
                <w:rFonts w:ascii="Times New Roman" w:hAnsi="Times New Roman" w:cs="Times New Roman"/>
                <w:sz w:val="18"/>
                <w:szCs w:val="18"/>
              </w:rPr>
              <w:t>Moncalian</w:t>
            </w:r>
            <w:proofErr w:type="spellEnd"/>
            <w:r w:rsidRPr="00B415EF">
              <w:rPr>
                <w:rFonts w:ascii="Times New Roman" w:hAnsi="Times New Roman" w:cs="Times New Roman"/>
                <w:sz w:val="18"/>
                <w:szCs w:val="18"/>
              </w:rPr>
              <w:t xml:space="preserve"> et al. 2004). This mutant also fails to complement the sequence in assays of NHEJ in deletion strain in vivo (Zhang &amp; </w:t>
            </w:r>
            <w:proofErr w:type="spellStart"/>
            <w:r w:rsidRPr="00B415EF">
              <w:rPr>
                <w:rFonts w:ascii="Times New Roman" w:hAnsi="Times New Roman" w:cs="Times New Roman"/>
                <w:sz w:val="18"/>
                <w:szCs w:val="18"/>
              </w:rPr>
              <w:t>paull</w:t>
            </w:r>
            <w:proofErr w:type="spellEnd"/>
            <w:r w:rsidRPr="00B415EF">
              <w:rPr>
                <w:rFonts w:ascii="Times New Roman" w:hAnsi="Times New Roman" w:cs="Times New Roman"/>
                <w:sz w:val="18"/>
                <w:szCs w:val="18"/>
              </w:rPr>
              <w:t xml:space="preserve"> 2005). This mutation also </w:t>
            </w:r>
            <w:proofErr w:type="gramStart"/>
            <w:r w:rsidRPr="00B415EF">
              <w:rPr>
                <w:rFonts w:ascii="Times New Roman" w:hAnsi="Times New Roman" w:cs="Times New Roman"/>
                <w:sz w:val="18"/>
                <w:szCs w:val="18"/>
              </w:rPr>
              <w:t>do</w:t>
            </w:r>
            <w:proofErr w:type="gramEnd"/>
            <w:r w:rsidRPr="00B415EF">
              <w:rPr>
                <w:rFonts w:ascii="Times New Roman" w:hAnsi="Times New Roman" w:cs="Times New Roman"/>
                <w:sz w:val="18"/>
                <w:szCs w:val="18"/>
              </w:rPr>
              <w:t xml:space="preserve"> not support spore viability (</w:t>
            </w:r>
            <w:proofErr w:type="spellStart"/>
            <w:r w:rsidRPr="00B415EF">
              <w:rPr>
                <w:rFonts w:ascii="Times New Roman" w:hAnsi="Times New Roman" w:cs="Times New Roman"/>
                <w:sz w:val="18"/>
                <w:szCs w:val="18"/>
              </w:rPr>
              <w:t>Bhaskara</w:t>
            </w:r>
            <w:proofErr w:type="spellEnd"/>
            <w:r w:rsidRPr="00B415EF">
              <w:rPr>
                <w:rFonts w:ascii="Times New Roman" w:hAnsi="Times New Roman" w:cs="Times New Roman"/>
                <w:sz w:val="18"/>
                <w:szCs w:val="18"/>
              </w:rPr>
              <w:t xml:space="preserve"> et al. 2007). Last; the telomere </w:t>
            </w:r>
            <w:proofErr w:type="gramStart"/>
            <w:r w:rsidRPr="00B415EF">
              <w:rPr>
                <w:rFonts w:ascii="Times New Roman" w:hAnsi="Times New Roman" w:cs="Times New Roman"/>
                <w:sz w:val="18"/>
                <w:szCs w:val="18"/>
              </w:rPr>
              <w:t>were</w:t>
            </w:r>
            <w:proofErr w:type="gramEnd"/>
            <w:r w:rsidRPr="00B415EF">
              <w:rPr>
                <w:rFonts w:ascii="Times New Roman" w:hAnsi="Times New Roman" w:cs="Times New Roman"/>
                <w:sz w:val="18"/>
                <w:szCs w:val="18"/>
              </w:rPr>
              <w:t xml:space="preserve"> severely shortened as in Rad50 deletion strain.</w:t>
            </w:r>
          </w:p>
          <w:p w14:paraId="71DA79B6" w14:textId="1E60B9E3"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 xml:space="preserve">S1205R: Mutation showed high level of DNA tethering, </w:t>
            </w:r>
            <w:proofErr w:type="gramStart"/>
            <w:r w:rsidRPr="00B415EF">
              <w:rPr>
                <w:rFonts w:ascii="Times New Roman" w:hAnsi="Times New Roman" w:cs="Times New Roman"/>
                <w:sz w:val="18"/>
                <w:szCs w:val="18"/>
              </w:rPr>
              <w:t>but  not</w:t>
            </w:r>
            <w:proofErr w:type="gramEnd"/>
            <w:r w:rsidRPr="00B415EF">
              <w:rPr>
                <w:rFonts w:ascii="Times New Roman" w:hAnsi="Times New Roman" w:cs="Times New Roman"/>
                <w:sz w:val="18"/>
                <w:szCs w:val="18"/>
              </w:rPr>
              <w:t xml:space="preserve"> stimulated by ATP. In </w:t>
            </w:r>
            <w:proofErr w:type="spellStart"/>
            <w:r w:rsidRPr="00B415EF">
              <w:rPr>
                <w:rFonts w:ascii="Times New Roman" w:hAnsi="Times New Roman" w:cs="Times New Roman"/>
                <w:sz w:val="18"/>
                <w:szCs w:val="18"/>
              </w:rPr>
              <w:t>contast</w:t>
            </w:r>
            <w:proofErr w:type="spellEnd"/>
            <w:r w:rsidRPr="00B415EF">
              <w:rPr>
                <w:rFonts w:ascii="Times New Roman" w:hAnsi="Times New Roman" w:cs="Times New Roman"/>
                <w:sz w:val="18"/>
                <w:szCs w:val="18"/>
              </w:rPr>
              <w:t xml:space="preserve"> mutation in Walker A; K40A</w:t>
            </w:r>
            <w:r w:rsidRPr="00B415EF">
              <w:rPr>
                <w:rFonts w:ascii="Times New Roman" w:hAnsi="Times New Roman" w:cs="Times New Roman"/>
                <w:sz w:val="18"/>
                <w:szCs w:val="18"/>
                <w:vertAlign w:val="superscript"/>
              </w:rPr>
              <w:t xml:space="preserve"> S. cerevisiae </w:t>
            </w:r>
            <w:r w:rsidRPr="00B415EF">
              <w:rPr>
                <w:rFonts w:ascii="Times New Roman" w:hAnsi="Times New Roman" w:cs="Times New Roman"/>
                <w:sz w:val="18"/>
                <w:szCs w:val="18"/>
              </w:rPr>
              <w:t xml:space="preserve">(K42AHS) completely block all DNA tethering, consistent with </w:t>
            </w:r>
            <w:proofErr w:type="spellStart"/>
            <w:r w:rsidRPr="00B415EF">
              <w:rPr>
                <w:rFonts w:ascii="Times New Roman" w:hAnsi="Times New Roman" w:cs="Times New Roman"/>
                <w:sz w:val="18"/>
                <w:szCs w:val="18"/>
              </w:rPr>
              <w:t>prevous</w:t>
            </w:r>
            <w:proofErr w:type="spellEnd"/>
            <w:r w:rsidRPr="00B415EF">
              <w:rPr>
                <w:rFonts w:ascii="Times New Roman" w:hAnsi="Times New Roman" w:cs="Times New Roman"/>
                <w:sz w:val="18"/>
                <w:szCs w:val="18"/>
              </w:rPr>
              <w:t xml:space="preserve"> report by Chen et al. 2005.</w:t>
            </w:r>
          </w:p>
        </w:tc>
        <w:tc>
          <w:tcPr>
            <w:tcW w:w="1498" w:type="dxa"/>
          </w:tcPr>
          <w:p w14:paraId="51240734" w14:textId="4216702E"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S1202R</w:t>
            </w:r>
          </w:p>
        </w:tc>
      </w:tr>
      <w:tr w:rsidR="0059084B" w:rsidRPr="00B415EF" w14:paraId="17486ACC" w14:textId="77777777" w:rsidTr="0059084B">
        <w:tc>
          <w:tcPr>
            <w:tcW w:w="1336" w:type="dxa"/>
          </w:tcPr>
          <w:p w14:paraId="4FB3C6B1" w14:textId="5487AA7D"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i/>
                <w:sz w:val="18"/>
                <w:szCs w:val="18"/>
              </w:rPr>
              <w:t xml:space="preserve">Homo sapiens </w:t>
            </w:r>
            <w:r w:rsidRPr="00B415EF">
              <w:rPr>
                <w:rFonts w:ascii="Times New Roman" w:hAnsi="Times New Roman" w:cs="Times New Roman"/>
                <w:sz w:val="18"/>
                <w:szCs w:val="18"/>
              </w:rPr>
              <w:fldChar w:fldCharType="begin" w:fldLock="1"/>
            </w:r>
            <w:r w:rsidRPr="00B415EF">
              <w:rPr>
                <w:rFonts w:ascii="Times New Roman" w:hAnsi="Times New Roman" w:cs="Times New Roman"/>
                <w:sz w:val="18"/>
                <w:szCs w:val="18"/>
              </w:rPr>
              <w:instrText>ADDIN CSL_CITATION {"citationItems":[{"id":"ITEM-1","itemData":{"DOI":"10.1016/j.ajhg.2009.04.010","ISBN":"1537-6605 (Electronic)\\r0002-9297 (Linking)","ISSN":"00029297","PMID":"19409520","abstract":"The MRE11/RAD50/NBN (MRN) complex plays a key role in recognizing and signaling DNA double-strand breaks (DSBs). Hypomorphic mutations in NBN (previously known as NBS1) and MRE11A give rise to the autosomal-recessive diseases Nijmegen breakage syndrome (NBS) and ataxia-telangiectasia-like disorder (ATLD), respectively. To date, no disease due to RAD50 deficiency has been described. Here, we report on a patient previously diagnosed as probably having NBS, with microcephaly, mental retardation, 'bird-like' face, and short stature. At variance with this diagnosis, she never had severe infections, had normal immunoglobulin levels, and did not develop lymphoid malignancy up to age 23 years. We found that she is compound heterozygous for mutations in the RAD50 gene that give rise to low levels of unstable RAD50 protein. Cells from the patient were characterized by chromosomal instability; radiosensitivity; failure to form DNA damage-induced MRN foci; and impaired radiation-induced activation of and downstream signaling through the ATM protein, which is defective in the human genetic disorder ataxia-telangiectasia. These cells were also impaired in G1/S cell-cycle-checkpoint activation and displayed radioresistant DNA synthesis and G2-phase accumulation. The defective cellular phenotype was rescued by wild-type RAD50. In conclusion, we have identified and characterized a patient with a RAD50 deficiency that results in a clinical phenotype that can be classified as an NBS-like disorder (NBSLD). ?? 2009 The American Society of Human Genetics.","author":[{"dropping-particle":"","family":"Waltes","given":"Regina","non-dropping-particle":"","parse-names":false,"suffix":""},{"dropping-particle":"","family":"Kalb","given":"Reinhard","non-dropping-particle":"","parse-names":false,"suffix":""},{"dropping-particle":"","family":"Gatei","given":"Magtouf","non-dropping-particle":"","parse-names":false,"suffix":""},{"dropping-particle":"","family":"Kijas","given":"Amanda W.","non-dropping-particle":"","parse-names":false,"suffix":""},{"dropping-particle":"","family":"Stumm","given":"Markus","non-dropping-particle":"","parse-names":false,"suffix":""},{"dropping-particle":"","family":"Sobeck","given":"Alexandra","non-dropping-particle":"","parse-names":false,"suffix":""},{"dropping-particle":"","family":"Wieland","given":"Britta","non-dropping-particle":"","parse-names":false,"suffix":""},{"dropping-particle":"","family":"Varon","given":"Raymonda","non-dropping-particle":"","parse-names":false,"suffix":""},{"dropping-particle":"","family":"Lerenthal","given":"Yaniv","non-dropping-particle":"","parse-names":false,"suffix":""},{"dropping-particle":"","family":"Lavin","given":"Martin F.","non-dropping-particle":"","parse-names":false,"suffix":""},{"dropping-particle":"","family":"Schindler","given":"Detlev","non-dropping-particle":"","parse-names":false,"suffix":""},{"dropping-particle":"","family":"D??rk","given":"Thilo","non-dropping-particle":"","parse-names":false,"suffix":""}],"container-title":"American Journal of Human Genetics","id":"ITEM-1","issue":"5","issued":{"date-parts":[["2009"]]},"page":"605-616","title":"Human RAD50 Deficiency in a Nijmegen Breakage Syndrome-like Disorder","type":"article-journal","volume":"84"},"uris":["http://www.mendeley.com/documents/?uuid=22cf43b1-5ee1-4933-acd7-2c2580f4ba9d"]}],"mendeley":{"formattedCitation":"[18]","plainTextFormattedCitation":"[18]","previouslyFormattedCitation":"[18]"},"properties":{"noteIndex":0},"schema":"https://github.com/citation-style-language/schema/raw/master/csl-citation.json"}</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18"/>
              </w:rPr>
              <w:t>[18]</w:t>
            </w:r>
            <w:r w:rsidRPr="00B415EF">
              <w:rPr>
                <w:rFonts w:ascii="Times New Roman" w:hAnsi="Times New Roman" w:cs="Times New Roman"/>
                <w:sz w:val="18"/>
                <w:szCs w:val="18"/>
              </w:rPr>
              <w:fldChar w:fldCharType="end"/>
            </w:r>
          </w:p>
        </w:tc>
        <w:tc>
          <w:tcPr>
            <w:tcW w:w="1494" w:type="dxa"/>
          </w:tcPr>
          <w:p w14:paraId="52966DA8" w14:textId="77777777"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ATPase domain</w:t>
            </w:r>
          </w:p>
          <w:p w14:paraId="6FF9B526" w14:textId="77777777" w:rsidR="0059084B" w:rsidRPr="00B415EF" w:rsidRDefault="0059084B" w:rsidP="0059084B">
            <w:pPr>
              <w:rPr>
                <w:rFonts w:ascii="Times New Roman" w:hAnsi="Times New Roman" w:cs="Times New Roman"/>
                <w:sz w:val="18"/>
                <w:szCs w:val="18"/>
              </w:rPr>
            </w:pPr>
          </w:p>
          <w:p w14:paraId="5432DB9A" w14:textId="77777777" w:rsidR="0059084B" w:rsidRPr="00B415EF" w:rsidRDefault="0059084B" w:rsidP="0059084B">
            <w:pPr>
              <w:rPr>
                <w:rFonts w:ascii="Times New Roman" w:hAnsi="Times New Roman" w:cs="Times New Roman"/>
                <w:sz w:val="18"/>
                <w:szCs w:val="18"/>
              </w:rPr>
            </w:pPr>
          </w:p>
        </w:tc>
        <w:tc>
          <w:tcPr>
            <w:tcW w:w="1634" w:type="dxa"/>
          </w:tcPr>
          <w:p w14:paraId="52110FF6" w14:textId="23AAFA8A"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R1093X</w:t>
            </w:r>
          </w:p>
        </w:tc>
        <w:tc>
          <w:tcPr>
            <w:tcW w:w="8350" w:type="dxa"/>
          </w:tcPr>
          <w:p w14:paraId="7FC7F3E8" w14:textId="77777777" w:rsidR="0059084B" w:rsidRPr="00B415EF" w:rsidRDefault="0059084B" w:rsidP="0059084B">
            <w:pPr>
              <w:pStyle w:val="ListParagraph"/>
              <w:numPr>
                <w:ilvl w:val="0"/>
                <w:numId w:val="25"/>
              </w:numPr>
              <w:rPr>
                <w:rFonts w:ascii="Times New Roman" w:hAnsi="Times New Roman" w:cs="Times New Roman"/>
                <w:sz w:val="18"/>
                <w:szCs w:val="18"/>
              </w:rPr>
            </w:pPr>
            <w:r w:rsidRPr="00B415EF">
              <w:rPr>
                <w:rFonts w:ascii="Times New Roman" w:hAnsi="Times New Roman" w:cs="Times New Roman"/>
                <w:sz w:val="18"/>
                <w:szCs w:val="18"/>
              </w:rPr>
              <w:t xml:space="preserve">Nijmegen Breakage Syndrome like disorder (NBSLD). Event where a </w:t>
            </w:r>
            <w:bookmarkStart w:id="6" w:name="_Hlk514491939"/>
            <w:r w:rsidRPr="00B415EF">
              <w:rPr>
                <w:rFonts w:ascii="Times New Roman" w:hAnsi="Times New Roman" w:cs="Times New Roman"/>
                <w:sz w:val="18"/>
                <w:szCs w:val="18"/>
              </w:rPr>
              <w:t xml:space="preserve">patient diagnosed with smaller head (microcephaly), mental retardation, ‘bird like’ face and short </w:t>
            </w:r>
            <w:proofErr w:type="gramStart"/>
            <w:r w:rsidRPr="00B415EF">
              <w:rPr>
                <w:rFonts w:ascii="Times New Roman" w:hAnsi="Times New Roman" w:cs="Times New Roman"/>
                <w:sz w:val="18"/>
                <w:szCs w:val="18"/>
              </w:rPr>
              <w:t>stature  due</w:t>
            </w:r>
            <w:proofErr w:type="gramEnd"/>
            <w:r w:rsidRPr="00B415EF">
              <w:rPr>
                <w:rFonts w:ascii="Times New Roman" w:hAnsi="Times New Roman" w:cs="Times New Roman"/>
                <w:sz w:val="18"/>
                <w:szCs w:val="18"/>
              </w:rPr>
              <w:t xml:space="preserve"> to Rad50 </w:t>
            </w:r>
            <w:proofErr w:type="spellStart"/>
            <w:r w:rsidRPr="00B415EF">
              <w:rPr>
                <w:rFonts w:ascii="Times New Roman" w:hAnsi="Times New Roman" w:cs="Times New Roman"/>
                <w:sz w:val="18"/>
                <w:szCs w:val="18"/>
              </w:rPr>
              <w:t>dificiency</w:t>
            </w:r>
            <w:proofErr w:type="spellEnd"/>
            <w:r w:rsidRPr="00B415EF">
              <w:rPr>
                <w:rFonts w:ascii="Times New Roman" w:hAnsi="Times New Roman" w:cs="Times New Roman"/>
                <w:sz w:val="18"/>
                <w:szCs w:val="18"/>
              </w:rPr>
              <w:t xml:space="preserve">. </w:t>
            </w:r>
            <w:bookmarkEnd w:id="6"/>
          </w:p>
          <w:p w14:paraId="34E4FF32" w14:textId="77777777" w:rsidR="0059084B" w:rsidRPr="00B415EF" w:rsidRDefault="0059084B" w:rsidP="0059084B">
            <w:pPr>
              <w:pStyle w:val="ListParagraph"/>
              <w:numPr>
                <w:ilvl w:val="0"/>
                <w:numId w:val="25"/>
              </w:numPr>
              <w:rPr>
                <w:rFonts w:ascii="Times New Roman" w:hAnsi="Times New Roman" w:cs="Times New Roman"/>
                <w:sz w:val="18"/>
                <w:szCs w:val="18"/>
              </w:rPr>
            </w:pPr>
            <w:proofErr w:type="spellStart"/>
            <w:r w:rsidRPr="00B415EF">
              <w:rPr>
                <w:rFonts w:ascii="Times New Roman" w:hAnsi="Times New Roman" w:cs="Times New Roman"/>
                <w:sz w:val="18"/>
                <w:szCs w:val="18"/>
              </w:rPr>
              <w:t>ToFurther</w:t>
            </w:r>
            <w:proofErr w:type="spellEnd"/>
            <w:r w:rsidRPr="00B415EF">
              <w:rPr>
                <w:rFonts w:ascii="Times New Roman" w:hAnsi="Times New Roman" w:cs="Times New Roman"/>
                <w:sz w:val="18"/>
                <w:szCs w:val="18"/>
              </w:rPr>
              <w:t xml:space="preserve"> studies of this patient’s fibroblasts and lymphoblastoid cells (LCL) revealed that this patient had RAD50 protein deficiency (</w:t>
            </w:r>
            <w:proofErr w:type="spellStart"/>
            <w:r w:rsidRPr="00B415EF">
              <w:rPr>
                <w:rFonts w:ascii="Times New Roman" w:hAnsi="Times New Roman" w:cs="Times New Roman"/>
                <w:sz w:val="18"/>
                <w:szCs w:val="18"/>
              </w:rPr>
              <w:t>Waltes</w:t>
            </w:r>
            <w:proofErr w:type="spellEnd"/>
            <w:r w:rsidRPr="00B415EF">
              <w:rPr>
                <w:rFonts w:ascii="Times New Roman" w:hAnsi="Times New Roman" w:cs="Times New Roman"/>
                <w:sz w:val="18"/>
                <w:szCs w:val="18"/>
              </w:rPr>
              <w:t xml:space="preserve"> et al., 2009). Sequencing of the RAD50 cDNA of this patient revealed compound heterozygosity for mutations that appeared to have </w:t>
            </w:r>
            <w:proofErr w:type="spellStart"/>
            <w:r w:rsidRPr="00B415EF">
              <w:rPr>
                <w:rFonts w:ascii="Times New Roman" w:hAnsi="Times New Roman" w:cs="Times New Roman"/>
                <w:sz w:val="18"/>
                <w:szCs w:val="18"/>
              </w:rPr>
              <w:t>hypomorphic</w:t>
            </w:r>
            <w:proofErr w:type="spellEnd"/>
            <w:r w:rsidRPr="00B415EF">
              <w:rPr>
                <w:rFonts w:ascii="Times New Roman" w:hAnsi="Times New Roman" w:cs="Times New Roman"/>
                <w:sz w:val="18"/>
                <w:szCs w:val="18"/>
              </w:rPr>
              <w:t xml:space="preserve"> effect.</w:t>
            </w:r>
          </w:p>
          <w:p w14:paraId="6922145D" w14:textId="501EFB01"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The mutation (c.3277C/T; p.R1093X) on exon 21 was maternally inherited. This mutation created a premature termination codon, thus producing a truncated RAD50 protein. The second mutation on exon 25 (c.3939A/T) was inherited paternally. This mutation changed the stop codon of RAD50 to a tyrosine codon, thereby producing a larger RAD50 peptide. How these mutations affect the low level of RAD50 protein expression in this patient remains to be elucidated (</w:t>
            </w:r>
            <w:proofErr w:type="spellStart"/>
            <w:r w:rsidRPr="00B415EF">
              <w:rPr>
                <w:rFonts w:ascii="Times New Roman" w:hAnsi="Times New Roman" w:cs="Times New Roman"/>
                <w:sz w:val="18"/>
                <w:szCs w:val="18"/>
              </w:rPr>
              <w:t>Waltes</w:t>
            </w:r>
            <w:proofErr w:type="spellEnd"/>
            <w:r w:rsidRPr="00B415EF">
              <w:rPr>
                <w:rFonts w:ascii="Times New Roman" w:hAnsi="Times New Roman" w:cs="Times New Roman"/>
                <w:sz w:val="18"/>
                <w:szCs w:val="18"/>
              </w:rPr>
              <w:t xml:space="preserve"> et al., 2009).</w:t>
            </w:r>
          </w:p>
        </w:tc>
        <w:tc>
          <w:tcPr>
            <w:tcW w:w="1498" w:type="dxa"/>
          </w:tcPr>
          <w:p w14:paraId="3EDA52A3" w14:textId="657C359F" w:rsidR="0059084B" w:rsidRPr="00B415EF" w:rsidRDefault="0059084B" w:rsidP="0059084B">
            <w:pPr>
              <w:rPr>
                <w:rFonts w:ascii="Times New Roman" w:hAnsi="Times New Roman" w:cs="Times New Roman"/>
                <w:sz w:val="18"/>
                <w:szCs w:val="18"/>
              </w:rPr>
            </w:pPr>
            <w:r w:rsidRPr="00B415EF">
              <w:rPr>
                <w:rFonts w:ascii="Times New Roman" w:hAnsi="Times New Roman" w:cs="Times New Roman"/>
                <w:sz w:val="18"/>
                <w:szCs w:val="18"/>
              </w:rPr>
              <w:t>R1093X</w:t>
            </w:r>
          </w:p>
        </w:tc>
      </w:tr>
      <w:tr w:rsidR="00B415EF" w:rsidRPr="00D677D2" w14:paraId="24E0B538" w14:textId="77777777" w:rsidTr="007D364E">
        <w:tc>
          <w:tcPr>
            <w:tcW w:w="14312" w:type="dxa"/>
            <w:gridSpan w:val="5"/>
          </w:tcPr>
          <w:p w14:paraId="7B7C7143" w14:textId="77777777" w:rsidR="00B415EF" w:rsidRPr="00B415EF" w:rsidRDefault="00B415EF" w:rsidP="00B415EF">
            <w:pPr>
              <w:rPr>
                <w:rFonts w:ascii="Times New Roman" w:hAnsi="Times New Roman" w:cs="Times New Roman"/>
                <w:sz w:val="18"/>
                <w:szCs w:val="18"/>
              </w:rPr>
            </w:pPr>
            <w:r w:rsidRPr="00B415EF">
              <w:rPr>
                <w:rFonts w:ascii="Times New Roman" w:hAnsi="Times New Roman" w:cs="Times New Roman"/>
                <w:sz w:val="18"/>
                <w:szCs w:val="18"/>
              </w:rPr>
              <w:t>References</w:t>
            </w:r>
          </w:p>
          <w:p w14:paraId="70120063"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sz w:val="18"/>
                <w:szCs w:val="18"/>
              </w:rPr>
              <w:lastRenderedPageBreak/>
              <w:fldChar w:fldCharType="begin" w:fldLock="1"/>
            </w:r>
            <w:r w:rsidRPr="00B415EF">
              <w:rPr>
                <w:rFonts w:ascii="Times New Roman" w:hAnsi="Times New Roman" w:cs="Times New Roman"/>
                <w:sz w:val="18"/>
                <w:szCs w:val="18"/>
              </w:rPr>
              <w:instrText xml:space="preserve">ADDIN Mendeley Bibliography CSL_BIBLIOGRAPHY </w:instrText>
            </w:r>
            <w:r w:rsidRPr="00B415EF">
              <w:rPr>
                <w:rFonts w:ascii="Times New Roman" w:hAnsi="Times New Roman" w:cs="Times New Roman"/>
                <w:sz w:val="18"/>
                <w:szCs w:val="18"/>
              </w:rPr>
              <w:fldChar w:fldCharType="separate"/>
            </w:r>
            <w:r w:rsidRPr="00B415EF">
              <w:rPr>
                <w:rFonts w:ascii="Times New Roman" w:hAnsi="Times New Roman" w:cs="Times New Roman"/>
                <w:noProof/>
                <w:sz w:val="18"/>
                <w:szCs w:val="24"/>
              </w:rPr>
              <w:t xml:space="preserve">1. </w:t>
            </w:r>
            <w:r w:rsidRPr="00B415EF">
              <w:rPr>
                <w:rFonts w:ascii="Times New Roman" w:hAnsi="Times New Roman" w:cs="Times New Roman"/>
                <w:noProof/>
                <w:sz w:val="18"/>
                <w:szCs w:val="24"/>
              </w:rPr>
              <w:tab/>
              <w:t>Chen L, Trujillo KM, Van Komen S, Roh DH, Krejci L, Lewis LK, et al. Effect of amino acid substitutions in the rad50 ATP binding domain on DNA double strand break repair in yeast. J Biol Chem. 2005;280: 2620–2627. doi:10.1074/jbc.M410192200</w:t>
            </w:r>
          </w:p>
          <w:p w14:paraId="7DA5C947"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2. </w:t>
            </w:r>
            <w:r w:rsidRPr="00B415EF">
              <w:rPr>
                <w:rFonts w:ascii="Times New Roman" w:hAnsi="Times New Roman" w:cs="Times New Roman"/>
                <w:noProof/>
                <w:sz w:val="18"/>
                <w:szCs w:val="24"/>
              </w:rPr>
              <w:tab/>
              <w:t>De La Rosa Metzere Bierlein, and Scott W. Nelson. An Interaction between the Walker A and D-loop Motifs Is Critical to ATP Hydrolysis and Cooperativity in Bacteriophage. J Biol Chem. 2011;286: 26258–26266. doi:10.1074/jbc.M111.256305</w:t>
            </w:r>
          </w:p>
          <w:p w14:paraId="5C27979C"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3. </w:t>
            </w:r>
            <w:r w:rsidRPr="00B415EF">
              <w:rPr>
                <w:rFonts w:ascii="Times New Roman" w:hAnsi="Times New Roman" w:cs="Times New Roman"/>
                <w:noProof/>
                <w:sz w:val="18"/>
                <w:szCs w:val="24"/>
              </w:rPr>
              <w:tab/>
              <w:t>Alani E, Padmore R, Kleckner N. Analysis of wild-type and rad50 mutants of yeast suggests an intimate relationship between meiotic chromosome synapsis and recombination. Cell. 1990;61: 419–436. doi:10.1016/0092-8674(90)90524-I</w:t>
            </w:r>
          </w:p>
          <w:p w14:paraId="75F02E62"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4. </w:t>
            </w:r>
            <w:r w:rsidRPr="00B415EF">
              <w:rPr>
                <w:rFonts w:ascii="Times New Roman" w:hAnsi="Times New Roman" w:cs="Times New Roman"/>
                <w:noProof/>
                <w:sz w:val="18"/>
                <w:szCs w:val="24"/>
              </w:rPr>
              <w:tab/>
              <w:t>Bender CF, Sikes ML, Sullivan R, Huye LE, Le Beau MM, Roth DB, et al. Cancer predisposition and hematopoietic failure in Rad50S/S mice. Genes Dev. 2002;16: 2237–2251. doi:10.1101/gad.1007902</w:t>
            </w:r>
          </w:p>
          <w:p w14:paraId="1A306954"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5. </w:t>
            </w:r>
            <w:r w:rsidRPr="00B415EF">
              <w:rPr>
                <w:rFonts w:ascii="Times New Roman" w:hAnsi="Times New Roman" w:cs="Times New Roman"/>
                <w:noProof/>
                <w:sz w:val="18"/>
                <w:szCs w:val="24"/>
              </w:rPr>
              <w:tab/>
              <w:t>Koroleva O, Makharashvili N, Courcelle CT, Courcelle J, Korolev S. Structural conservation of RecF and Rad50: implications for DNA recognition and RecF function. EMBO J. 2007;26: 867–77. doi:10.1038/sj.emboj.7601537</w:t>
            </w:r>
          </w:p>
          <w:p w14:paraId="4E457B94"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6. </w:t>
            </w:r>
            <w:r w:rsidRPr="00B415EF">
              <w:rPr>
                <w:rFonts w:ascii="Times New Roman" w:hAnsi="Times New Roman" w:cs="Times New Roman"/>
                <w:noProof/>
                <w:sz w:val="18"/>
                <w:szCs w:val="24"/>
              </w:rPr>
              <w:tab/>
              <w:t>Rojowska A, Lammens K, Seifert FU, Direnberger C, Feldmann H. Structure of the Rad 50 DNA double-strand break repair protein in complex with DNA. EMBO J. 2014;33: 2847–2859. doi:10.15252/embj.201488889</w:t>
            </w:r>
          </w:p>
          <w:p w14:paraId="5AA2C238"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7. </w:t>
            </w:r>
            <w:r w:rsidRPr="00B415EF">
              <w:rPr>
                <w:rFonts w:ascii="Times New Roman" w:hAnsi="Times New Roman" w:cs="Times New Roman"/>
                <w:noProof/>
                <w:sz w:val="18"/>
                <w:szCs w:val="24"/>
              </w:rPr>
              <w:tab/>
              <w:t>Roset R, Inagaki A, Hohl M, Brenet F, Lafrance-Vanasse J, Lange J, et al. The Rad50 hook domain regulates DNA damage signaling and tumorigenesis. Genes Dev. 2014;28: 451–462. doi:10.1101/gad.236745.113</w:t>
            </w:r>
          </w:p>
          <w:p w14:paraId="3101B5F0"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8. </w:t>
            </w:r>
            <w:r w:rsidRPr="00B415EF">
              <w:rPr>
                <w:rFonts w:ascii="Times New Roman" w:hAnsi="Times New Roman" w:cs="Times New Roman"/>
                <w:noProof/>
                <w:sz w:val="18"/>
                <w:szCs w:val="24"/>
              </w:rPr>
              <w:tab/>
              <w:t>Cahill D, Carney JP. Dimerization of the Rad50 protein is independent of the conserved hook domain. Mutagenesis. 2007;22: 269–274. doi:10.1093/mutage/gem011</w:t>
            </w:r>
          </w:p>
          <w:p w14:paraId="29AD78A1"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9. </w:t>
            </w:r>
            <w:r w:rsidRPr="00B415EF">
              <w:rPr>
                <w:rFonts w:ascii="Times New Roman" w:hAnsi="Times New Roman" w:cs="Times New Roman"/>
                <w:noProof/>
                <w:sz w:val="18"/>
                <w:szCs w:val="24"/>
              </w:rPr>
              <w:tab/>
              <w:t>He J, Shi LZ, Truong LN, Lu CS, Razavian N, Li Y, et al. Rad50 zinc hook is important for the Mre11 complex to bind chromosomal DNA double-stranded breaks and initiate various DNA damage responses. J Biol Chem. 2012;287: 31747–31756. doi:10.1074/jbc.M112.384750</w:t>
            </w:r>
          </w:p>
          <w:p w14:paraId="7EF9740E"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10. </w:t>
            </w:r>
            <w:r w:rsidRPr="00B415EF">
              <w:rPr>
                <w:rFonts w:ascii="Times New Roman" w:hAnsi="Times New Roman" w:cs="Times New Roman"/>
                <w:noProof/>
                <w:sz w:val="18"/>
                <w:szCs w:val="24"/>
              </w:rPr>
              <w:tab/>
              <w:t>Barfoot T, Herdendorf TJ, Behning BR, Stohr BA, Gao Y, Kreuzer KN, et al. Functional analysis of the bacteriophage T4 Rad50 Homolog (gp46) Coiled-coil Domain. J Biol Chem. 2015;290: 23905–23915. doi:10.1074/jbc.M115.675132</w:t>
            </w:r>
          </w:p>
          <w:p w14:paraId="42E6266F"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11. </w:t>
            </w:r>
            <w:r w:rsidRPr="00B415EF">
              <w:rPr>
                <w:rFonts w:ascii="Times New Roman" w:hAnsi="Times New Roman" w:cs="Times New Roman"/>
                <w:noProof/>
                <w:sz w:val="18"/>
                <w:szCs w:val="24"/>
              </w:rPr>
              <w:tab/>
              <w:t>Hohl M, Kocha??czyk T, Tous C, Aguilera A, KrEzel A, Petrini JHJ. Interdependence of the Rad50 Hook and Globular domain functions. Mol Cell. 2015;57: 479–492. doi:10.1016/j.molcel.2014.12.018</w:t>
            </w:r>
          </w:p>
          <w:p w14:paraId="125D5927"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12. </w:t>
            </w:r>
            <w:r w:rsidRPr="00B415EF">
              <w:rPr>
                <w:rFonts w:ascii="Times New Roman" w:hAnsi="Times New Roman" w:cs="Times New Roman"/>
                <w:noProof/>
                <w:sz w:val="18"/>
                <w:szCs w:val="24"/>
              </w:rPr>
              <w:tab/>
              <w:t>Gatei M, Jakob B, Chen P, Kijas AW, Becherel OJ, Gueven N, et al. ATM protein-dependent phosphorylation of Rad50 protein Regulates DNA repair and cell cycle control. J Biol Chem. 2011;286: 31542–31556. doi:10.1074/jbc.M111.258152</w:t>
            </w:r>
          </w:p>
          <w:p w14:paraId="2231E511"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13. </w:t>
            </w:r>
            <w:r w:rsidRPr="00B415EF">
              <w:rPr>
                <w:rFonts w:ascii="Times New Roman" w:hAnsi="Times New Roman" w:cs="Times New Roman"/>
                <w:noProof/>
                <w:sz w:val="18"/>
                <w:szCs w:val="24"/>
              </w:rPr>
              <w:tab/>
              <w:t>Deshpande RA, Williams GJ, Limbo O, Williams RS, Kuhnlein J, Lee JH, et al. ATP-driven Rad50 conformations regulate DNA tethering, end resection, and ATM checkpoint signaling. EMBO J. 2014;33: 482–500. doi:10.1002/embj.201386100</w:t>
            </w:r>
          </w:p>
          <w:p w14:paraId="6F2D83FB"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14. </w:t>
            </w:r>
            <w:r w:rsidRPr="00B415EF">
              <w:rPr>
                <w:rFonts w:ascii="Times New Roman" w:hAnsi="Times New Roman" w:cs="Times New Roman"/>
                <w:noProof/>
                <w:sz w:val="18"/>
                <w:szCs w:val="24"/>
              </w:rPr>
              <w:tab/>
              <w:t>Williams GJ, Williams RS, Williams JS, Moncalian G, Arvai AS, Limbo O, et al. ABC ATPase signature helices in Rad50 link nucleotide state to Mre11 interface for DNA repair. Nat Struct Mol Biol. 2011;18: 423–431. doi:10.1038/nsmb0911-1084c</w:t>
            </w:r>
          </w:p>
          <w:p w14:paraId="402D26F9"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15. </w:t>
            </w:r>
            <w:r w:rsidRPr="00B415EF">
              <w:rPr>
                <w:rFonts w:ascii="Times New Roman" w:hAnsi="Times New Roman" w:cs="Times New Roman"/>
                <w:noProof/>
                <w:sz w:val="18"/>
                <w:szCs w:val="24"/>
              </w:rPr>
              <w:tab/>
              <w:t>Moncalian G, Lengsfeld B, Bhaskara V, Hopfner KP, Karcher A, Alden E, et al. The Rad50 Signature Motif: Essential to ATP Binding and Biological Function. J Mol Biol. 2004;335: 937–951. doi:10.1016/j.jmb.2003.11.026</w:t>
            </w:r>
          </w:p>
          <w:p w14:paraId="1F3D02CA"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16. </w:t>
            </w:r>
            <w:r w:rsidRPr="00B415EF">
              <w:rPr>
                <w:rFonts w:ascii="Times New Roman" w:hAnsi="Times New Roman" w:cs="Times New Roman"/>
                <w:noProof/>
                <w:sz w:val="18"/>
                <w:szCs w:val="24"/>
              </w:rPr>
              <w:tab/>
              <w:t>Herdendorf TJ, Nelson SW. Functional evaluation of bacteriophage T4 Rad50 signature motif residues. Biochemistry. 2011;50: 6030–6040. doi:10.1021/bi200184w</w:t>
            </w:r>
          </w:p>
          <w:p w14:paraId="02A0BB2E"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szCs w:val="24"/>
              </w:rPr>
            </w:pPr>
            <w:r w:rsidRPr="00B415EF">
              <w:rPr>
                <w:rFonts w:ascii="Times New Roman" w:hAnsi="Times New Roman" w:cs="Times New Roman"/>
                <w:noProof/>
                <w:sz w:val="18"/>
                <w:szCs w:val="24"/>
              </w:rPr>
              <w:t xml:space="preserve">17. </w:t>
            </w:r>
            <w:r w:rsidRPr="00B415EF">
              <w:rPr>
                <w:rFonts w:ascii="Times New Roman" w:hAnsi="Times New Roman" w:cs="Times New Roman"/>
                <w:noProof/>
                <w:sz w:val="18"/>
                <w:szCs w:val="24"/>
              </w:rPr>
              <w:tab/>
              <w:t>Bhaskara V, Dupr A, Lengsfeld B, Hopkins BB, Chan A, Lee JH, et al. Rad50 Adenylate Kinase Activity Regulates DNA Tethering by Mre11/Rad50 Complexes. Mol Cell. 2007;25: 647–661. doi:10.1016/j.molcel.2007.01.028</w:t>
            </w:r>
          </w:p>
          <w:p w14:paraId="6B39853C" w14:textId="77777777" w:rsidR="00B415EF" w:rsidRPr="00B415EF" w:rsidRDefault="00B415EF" w:rsidP="00B415EF">
            <w:pPr>
              <w:widowControl w:val="0"/>
              <w:autoSpaceDE w:val="0"/>
              <w:autoSpaceDN w:val="0"/>
              <w:adjustRightInd w:val="0"/>
              <w:ind w:left="640" w:hanging="640"/>
              <w:rPr>
                <w:rFonts w:ascii="Times New Roman" w:hAnsi="Times New Roman" w:cs="Times New Roman"/>
                <w:noProof/>
                <w:sz w:val="18"/>
              </w:rPr>
            </w:pPr>
            <w:r w:rsidRPr="00B415EF">
              <w:rPr>
                <w:rFonts w:ascii="Times New Roman" w:hAnsi="Times New Roman" w:cs="Times New Roman"/>
                <w:noProof/>
                <w:sz w:val="18"/>
                <w:szCs w:val="24"/>
              </w:rPr>
              <w:t xml:space="preserve">18. </w:t>
            </w:r>
            <w:r w:rsidRPr="00B415EF">
              <w:rPr>
                <w:rFonts w:ascii="Times New Roman" w:hAnsi="Times New Roman" w:cs="Times New Roman"/>
                <w:noProof/>
                <w:sz w:val="18"/>
                <w:szCs w:val="24"/>
              </w:rPr>
              <w:tab/>
              <w:t>Waltes R, Kalb R, Gatei M, Kijas AW, Stumm M, Sobeck A, et al. Human RAD50 Deficiency in a Nijmegen Breakage Syndrome-like Disorder. Am J Hum Genet. 2009;84: 605–616. doi:10.1016/j.ajhg.2009.04.010</w:t>
            </w:r>
          </w:p>
          <w:p w14:paraId="2D0B4848" w14:textId="18B9517A" w:rsidR="00B415EF" w:rsidRDefault="00B415EF" w:rsidP="00B415EF">
            <w:pPr>
              <w:rPr>
                <w:rFonts w:ascii="Times New Roman" w:hAnsi="Times New Roman" w:cs="Times New Roman"/>
                <w:sz w:val="18"/>
                <w:szCs w:val="18"/>
              </w:rPr>
            </w:pPr>
            <w:r w:rsidRPr="00B415EF">
              <w:rPr>
                <w:rFonts w:ascii="Times New Roman" w:hAnsi="Times New Roman" w:cs="Times New Roman"/>
                <w:sz w:val="18"/>
                <w:szCs w:val="18"/>
              </w:rPr>
              <w:fldChar w:fldCharType="end"/>
            </w:r>
          </w:p>
        </w:tc>
      </w:tr>
    </w:tbl>
    <w:p w14:paraId="5035D2E6" w14:textId="77777777" w:rsidR="00247759" w:rsidRDefault="00247759">
      <w:pPr>
        <w:rPr>
          <w:rFonts w:ascii="Times New Roman" w:hAnsi="Times New Roman" w:cs="Times New Roman"/>
        </w:rPr>
        <w:sectPr w:rsidR="00247759" w:rsidSect="00D677D2">
          <w:pgSz w:w="16838" w:h="11906" w:orient="landscape"/>
          <w:pgMar w:top="1440" w:right="1440" w:bottom="1440" w:left="1440" w:header="708" w:footer="708" w:gutter="0"/>
          <w:cols w:space="708"/>
          <w:docGrid w:linePitch="360"/>
        </w:sectPr>
      </w:pPr>
    </w:p>
    <w:p w14:paraId="6E7559BE" w14:textId="158DC99E" w:rsidR="00247759" w:rsidRPr="00D677D2" w:rsidRDefault="00247759">
      <w:pPr>
        <w:rPr>
          <w:rFonts w:ascii="Times New Roman" w:hAnsi="Times New Roman" w:cs="Times New Roman"/>
        </w:rPr>
      </w:pPr>
    </w:p>
    <w:sectPr w:rsidR="00247759" w:rsidRPr="00D677D2" w:rsidSect="00247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80B"/>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A8D07B5"/>
    <w:multiLevelType w:val="hybridMultilevel"/>
    <w:tmpl w:val="B0C8934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F0154FC"/>
    <w:multiLevelType w:val="hybridMultilevel"/>
    <w:tmpl w:val="02A83A6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38D2A97"/>
    <w:multiLevelType w:val="hybridMultilevel"/>
    <w:tmpl w:val="4C82649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1EF00ED8"/>
    <w:multiLevelType w:val="hybridMultilevel"/>
    <w:tmpl w:val="070EF96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2409309F"/>
    <w:multiLevelType w:val="hybridMultilevel"/>
    <w:tmpl w:val="0524B20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DE5794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11C316B"/>
    <w:multiLevelType w:val="hybridMultilevel"/>
    <w:tmpl w:val="407899E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53A2C1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35DC7C7B"/>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760248C"/>
    <w:multiLevelType w:val="hybridMultilevel"/>
    <w:tmpl w:val="79FA106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B73751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00F4109"/>
    <w:multiLevelType w:val="hybridMultilevel"/>
    <w:tmpl w:val="7418163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A990DB7"/>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4DB56264"/>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77E3CAC"/>
    <w:multiLevelType w:val="hybridMultilevel"/>
    <w:tmpl w:val="E9BC79E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82A1EFD"/>
    <w:multiLevelType w:val="hybridMultilevel"/>
    <w:tmpl w:val="F83CC050"/>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60031EAA"/>
    <w:multiLevelType w:val="hybridMultilevel"/>
    <w:tmpl w:val="1C1CAF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676D1F7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6A5E6194"/>
    <w:multiLevelType w:val="hybridMultilevel"/>
    <w:tmpl w:val="8118E3A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71465928"/>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74C32535"/>
    <w:multiLevelType w:val="hybridMultilevel"/>
    <w:tmpl w:val="DD686A0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C3E3074"/>
    <w:multiLevelType w:val="hybridMultilevel"/>
    <w:tmpl w:val="404E712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7D1614F3"/>
    <w:multiLevelType w:val="hybridMultilevel"/>
    <w:tmpl w:val="717E85D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7E6379DE"/>
    <w:multiLevelType w:val="hybridMultilevel"/>
    <w:tmpl w:val="99001D9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1"/>
  </w:num>
  <w:num w:numId="2">
    <w:abstractNumId w:val="16"/>
  </w:num>
  <w:num w:numId="3">
    <w:abstractNumId w:val="24"/>
  </w:num>
  <w:num w:numId="4">
    <w:abstractNumId w:val="3"/>
  </w:num>
  <w:num w:numId="5">
    <w:abstractNumId w:val="5"/>
  </w:num>
  <w:num w:numId="6">
    <w:abstractNumId w:val="17"/>
  </w:num>
  <w:num w:numId="7">
    <w:abstractNumId w:val="11"/>
  </w:num>
  <w:num w:numId="8">
    <w:abstractNumId w:val="14"/>
  </w:num>
  <w:num w:numId="9">
    <w:abstractNumId w:val="9"/>
  </w:num>
  <w:num w:numId="10">
    <w:abstractNumId w:val="13"/>
  </w:num>
  <w:num w:numId="11">
    <w:abstractNumId w:val="10"/>
  </w:num>
  <w:num w:numId="12">
    <w:abstractNumId w:val="18"/>
  </w:num>
  <w:num w:numId="13">
    <w:abstractNumId w:val="23"/>
  </w:num>
  <w:num w:numId="14">
    <w:abstractNumId w:val="19"/>
  </w:num>
  <w:num w:numId="15">
    <w:abstractNumId w:val="4"/>
  </w:num>
  <w:num w:numId="16">
    <w:abstractNumId w:val="22"/>
  </w:num>
  <w:num w:numId="17">
    <w:abstractNumId w:val="2"/>
  </w:num>
  <w:num w:numId="18">
    <w:abstractNumId w:val="12"/>
  </w:num>
  <w:num w:numId="19">
    <w:abstractNumId w:val="8"/>
  </w:num>
  <w:num w:numId="20">
    <w:abstractNumId w:val="20"/>
  </w:num>
  <w:num w:numId="21">
    <w:abstractNumId w:val="0"/>
  </w:num>
  <w:num w:numId="22">
    <w:abstractNumId w:val="15"/>
  </w:num>
  <w:num w:numId="23">
    <w:abstractNumId w:val="6"/>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D2"/>
    <w:rsid w:val="000035F6"/>
    <w:rsid w:val="00003A73"/>
    <w:rsid w:val="00035E43"/>
    <w:rsid w:val="0006673D"/>
    <w:rsid w:val="000679EF"/>
    <w:rsid w:val="00070B2B"/>
    <w:rsid w:val="00087734"/>
    <w:rsid w:val="00113990"/>
    <w:rsid w:val="00142621"/>
    <w:rsid w:val="00160634"/>
    <w:rsid w:val="00206DB6"/>
    <w:rsid w:val="0024163F"/>
    <w:rsid w:val="00247759"/>
    <w:rsid w:val="002571C4"/>
    <w:rsid w:val="00331784"/>
    <w:rsid w:val="003848DB"/>
    <w:rsid w:val="003B75E1"/>
    <w:rsid w:val="003F7083"/>
    <w:rsid w:val="004A1BF8"/>
    <w:rsid w:val="004A6C82"/>
    <w:rsid w:val="004B5B74"/>
    <w:rsid w:val="004C0D0C"/>
    <w:rsid w:val="004F4977"/>
    <w:rsid w:val="00502070"/>
    <w:rsid w:val="005108F5"/>
    <w:rsid w:val="00511451"/>
    <w:rsid w:val="00525B44"/>
    <w:rsid w:val="00534F62"/>
    <w:rsid w:val="00541893"/>
    <w:rsid w:val="00564FA8"/>
    <w:rsid w:val="00585447"/>
    <w:rsid w:val="0059084B"/>
    <w:rsid w:val="005A16A1"/>
    <w:rsid w:val="005E4A07"/>
    <w:rsid w:val="006459B0"/>
    <w:rsid w:val="006A06F7"/>
    <w:rsid w:val="006A0AC5"/>
    <w:rsid w:val="006A6F8F"/>
    <w:rsid w:val="006B5042"/>
    <w:rsid w:val="00730912"/>
    <w:rsid w:val="007410C0"/>
    <w:rsid w:val="00765197"/>
    <w:rsid w:val="007710D6"/>
    <w:rsid w:val="00781CAB"/>
    <w:rsid w:val="007A3CD7"/>
    <w:rsid w:val="00806DA0"/>
    <w:rsid w:val="00823224"/>
    <w:rsid w:val="00855DE0"/>
    <w:rsid w:val="00861DE0"/>
    <w:rsid w:val="00870236"/>
    <w:rsid w:val="008F7530"/>
    <w:rsid w:val="00915C8D"/>
    <w:rsid w:val="009332DD"/>
    <w:rsid w:val="0093650E"/>
    <w:rsid w:val="00955234"/>
    <w:rsid w:val="00975DA2"/>
    <w:rsid w:val="0098773D"/>
    <w:rsid w:val="00A077E6"/>
    <w:rsid w:val="00A4135B"/>
    <w:rsid w:val="00A45EE4"/>
    <w:rsid w:val="00A9339D"/>
    <w:rsid w:val="00AD5414"/>
    <w:rsid w:val="00AF29A3"/>
    <w:rsid w:val="00B2633F"/>
    <w:rsid w:val="00B415EF"/>
    <w:rsid w:val="00BC2943"/>
    <w:rsid w:val="00BC6FF7"/>
    <w:rsid w:val="00BD0E08"/>
    <w:rsid w:val="00BE116D"/>
    <w:rsid w:val="00C10216"/>
    <w:rsid w:val="00C40A46"/>
    <w:rsid w:val="00C70AE7"/>
    <w:rsid w:val="00C72A52"/>
    <w:rsid w:val="00C74D93"/>
    <w:rsid w:val="00C943D8"/>
    <w:rsid w:val="00CB324A"/>
    <w:rsid w:val="00CB60BE"/>
    <w:rsid w:val="00CF6B8E"/>
    <w:rsid w:val="00D26D1B"/>
    <w:rsid w:val="00D677D2"/>
    <w:rsid w:val="00D95EC0"/>
    <w:rsid w:val="00D96A37"/>
    <w:rsid w:val="00DA69AA"/>
    <w:rsid w:val="00DE7257"/>
    <w:rsid w:val="00E14E7F"/>
    <w:rsid w:val="00E57488"/>
    <w:rsid w:val="00EA1EE2"/>
    <w:rsid w:val="00EC6877"/>
    <w:rsid w:val="00EE2295"/>
    <w:rsid w:val="00EF666A"/>
    <w:rsid w:val="00F05B5D"/>
    <w:rsid w:val="00F1708A"/>
    <w:rsid w:val="00F73203"/>
    <w:rsid w:val="00FB1209"/>
    <w:rsid w:val="00FB7FB8"/>
    <w:rsid w:val="00FC434C"/>
    <w:rsid w:val="00FF77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AFDB"/>
  <w15:chartTrackingRefBased/>
  <w15:docId w15:val="{A641AD14-EA60-4CA8-9EEA-9B0BDAC6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7D2"/>
    <w:pPr>
      <w:ind w:left="720"/>
      <w:contextualSpacing/>
    </w:pPr>
  </w:style>
  <w:style w:type="numbering" w:customStyle="1" w:styleId="NoList1">
    <w:name w:val="No List1"/>
    <w:next w:val="NoList"/>
    <w:uiPriority w:val="99"/>
    <w:semiHidden/>
    <w:unhideWhenUsed/>
    <w:rsid w:val="00247759"/>
  </w:style>
  <w:style w:type="table" w:customStyle="1" w:styleId="TableGrid1">
    <w:name w:val="Table Grid1"/>
    <w:basedOn w:val="TableNormal"/>
    <w:next w:val="TableGrid"/>
    <w:uiPriority w:val="39"/>
    <w:rsid w:val="0024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39568">
      <w:bodyDiv w:val="1"/>
      <w:marLeft w:val="0"/>
      <w:marRight w:val="0"/>
      <w:marTop w:val="0"/>
      <w:marBottom w:val="0"/>
      <w:divBdr>
        <w:top w:val="none" w:sz="0" w:space="0" w:color="auto"/>
        <w:left w:val="none" w:sz="0" w:space="0" w:color="auto"/>
        <w:bottom w:val="none" w:sz="0" w:space="0" w:color="auto"/>
        <w:right w:val="none" w:sz="0" w:space="0" w:color="auto"/>
      </w:divBdr>
    </w:div>
    <w:div w:id="20952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C456-9DFA-4ED4-B963-43CD50A8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10678</Words>
  <Characters>60871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Juwairiah Remali</dc:creator>
  <cp:keywords/>
  <dc:description/>
  <cp:lastModifiedBy>shazrul fazry</cp:lastModifiedBy>
  <cp:revision>6</cp:revision>
  <dcterms:created xsi:type="dcterms:W3CDTF">2019-06-26T03:43:00Z</dcterms:created>
  <dcterms:modified xsi:type="dcterms:W3CDTF">2019-09-06T12:47:00Z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http://csl.mendeley.com/styles/4831561/GayaUKM-FST-FSAAB-V1</vt:lpwstr>
  </property>
  <property fmtid="{D5CDD505-2E9C-101B-9397-08002B2CF9AE}" pid="11" name="Mendeley Recent Style Name 4_1">
    <vt:lpwstr>GayaUKM2017-FS-AAB - Fareed Sairi</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9fd6a146-c7e8-3a96-99f9-3e5cbc8a8754</vt:lpwstr>
  </property>
  <property fmtid="{D5CDD505-2E9C-101B-9397-08002B2CF9AE}" pid="24" name="Mendeley Citation Style_1">
    <vt:lpwstr>http://www.zotero.org/styles/plos-one</vt:lpwstr>
  </property>
</Properties>
</file>