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6D" w:rsidRPr="00C9702D" w:rsidRDefault="0083426D" w:rsidP="00C9702D">
      <w:pPr>
        <w:jc w:val="center"/>
        <w:rPr>
          <w:rFonts w:ascii="Times New Roman" w:hAnsi="Times New Roman" w:cs="Times New Roman"/>
          <w:b/>
          <w:sz w:val="24"/>
          <w:szCs w:val="24"/>
          <w:u w:val="single"/>
        </w:rPr>
      </w:pPr>
    </w:p>
    <w:tbl>
      <w:tblPr>
        <w:tblStyle w:val="TableGrid1"/>
        <w:tblW w:w="14312" w:type="dxa"/>
        <w:tblLayout w:type="fixed"/>
        <w:tblLook w:val="04A0" w:firstRow="1" w:lastRow="0" w:firstColumn="1" w:lastColumn="0" w:noHBand="0" w:noVBand="1"/>
      </w:tblPr>
      <w:tblGrid>
        <w:gridCol w:w="915"/>
        <w:gridCol w:w="903"/>
        <w:gridCol w:w="162"/>
        <w:gridCol w:w="283"/>
        <w:gridCol w:w="567"/>
        <w:gridCol w:w="567"/>
        <w:gridCol w:w="567"/>
        <w:gridCol w:w="567"/>
        <w:gridCol w:w="426"/>
        <w:gridCol w:w="425"/>
        <w:gridCol w:w="3118"/>
        <w:gridCol w:w="567"/>
        <w:gridCol w:w="851"/>
        <w:gridCol w:w="2126"/>
        <w:gridCol w:w="567"/>
        <w:gridCol w:w="567"/>
        <w:gridCol w:w="567"/>
        <w:gridCol w:w="567"/>
      </w:tblGrid>
      <w:tr w:rsidR="0083426D" w:rsidRPr="00C9702D" w:rsidTr="0083426D">
        <w:tc>
          <w:tcPr>
            <w:tcW w:w="915" w:type="dxa"/>
          </w:tcPr>
          <w:p w:rsidR="0083426D" w:rsidRPr="00C9702D" w:rsidRDefault="0083426D" w:rsidP="00C9702D">
            <w:pPr>
              <w:rPr>
                <w:rFonts w:ascii="Times New Roman" w:hAnsi="Times New Roman" w:cs="Times New Roman"/>
                <w:sz w:val="16"/>
                <w:szCs w:val="16"/>
              </w:rPr>
            </w:pPr>
          </w:p>
        </w:tc>
        <w:tc>
          <w:tcPr>
            <w:tcW w:w="903" w:type="dxa"/>
          </w:tcPr>
          <w:p w:rsidR="0083426D" w:rsidRPr="00C9702D" w:rsidRDefault="0083426D" w:rsidP="00C9702D">
            <w:pPr>
              <w:rPr>
                <w:rFonts w:ascii="Times New Roman" w:hAnsi="Times New Roman" w:cs="Times New Roman"/>
                <w:sz w:val="16"/>
                <w:szCs w:val="16"/>
              </w:rPr>
            </w:pPr>
          </w:p>
        </w:tc>
        <w:tc>
          <w:tcPr>
            <w:tcW w:w="3564" w:type="dxa"/>
            <w:gridSpan w:val="8"/>
          </w:tcPr>
          <w:p w:rsidR="0083426D" w:rsidRPr="00C9702D" w:rsidRDefault="0083426D" w:rsidP="00C9702D">
            <w:pPr>
              <w:jc w:val="center"/>
              <w:rPr>
                <w:rFonts w:ascii="Times New Roman" w:hAnsi="Times New Roman" w:cs="Times New Roman"/>
                <w:sz w:val="16"/>
                <w:szCs w:val="16"/>
              </w:rPr>
            </w:pPr>
            <w:r w:rsidRPr="00C9702D">
              <w:rPr>
                <w:rFonts w:ascii="Times New Roman" w:hAnsi="Times New Roman" w:cs="Times New Roman"/>
                <w:sz w:val="16"/>
                <w:szCs w:val="16"/>
              </w:rPr>
              <w:t>Amino acid Impact (Neutral</w:t>
            </w:r>
            <w:r w:rsidR="00B26504" w:rsidRPr="00C9702D">
              <w:rPr>
                <w:rFonts w:ascii="Times New Roman" w:hAnsi="Times New Roman" w:cs="Times New Roman"/>
                <w:sz w:val="16"/>
                <w:szCs w:val="16"/>
              </w:rPr>
              <w:t>/Deleterious</w:t>
            </w:r>
            <w:r w:rsidRPr="00C9702D">
              <w:rPr>
                <w:rFonts w:ascii="Times New Roman" w:hAnsi="Times New Roman" w:cs="Times New Roman"/>
                <w:sz w:val="16"/>
                <w:szCs w:val="16"/>
              </w:rPr>
              <w:t>)</w:t>
            </w:r>
          </w:p>
        </w:tc>
        <w:tc>
          <w:tcPr>
            <w:tcW w:w="6662" w:type="dxa"/>
            <w:gridSpan w:val="4"/>
          </w:tcPr>
          <w:p w:rsidR="0083426D" w:rsidRPr="00C9702D" w:rsidRDefault="0083426D" w:rsidP="00C9702D">
            <w:pPr>
              <w:jc w:val="center"/>
              <w:rPr>
                <w:rFonts w:ascii="Times New Roman" w:hAnsi="Times New Roman" w:cs="Times New Roman"/>
                <w:sz w:val="16"/>
                <w:szCs w:val="16"/>
              </w:rPr>
            </w:pPr>
            <w:r w:rsidRPr="00C9702D">
              <w:rPr>
                <w:rFonts w:ascii="Times New Roman" w:hAnsi="Times New Roman" w:cs="Times New Roman"/>
                <w:sz w:val="16"/>
                <w:szCs w:val="16"/>
              </w:rPr>
              <w:t>Molecular mechanisms</w:t>
            </w:r>
          </w:p>
        </w:tc>
        <w:tc>
          <w:tcPr>
            <w:tcW w:w="1134" w:type="dxa"/>
            <w:gridSpan w:val="2"/>
          </w:tcPr>
          <w:p w:rsidR="0083426D" w:rsidRPr="00C9702D" w:rsidRDefault="0083426D" w:rsidP="00C9702D">
            <w:pPr>
              <w:rPr>
                <w:rFonts w:ascii="Times New Roman" w:hAnsi="Times New Roman" w:cs="Times New Roman"/>
                <w:sz w:val="16"/>
                <w:szCs w:val="16"/>
              </w:rPr>
            </w:pPr>
            <w:r w:rsidRPr="00C9702D">
              <w:rPr>
                <w:rFonts w:ascii="Times New Roman" w:hAnsi="Times New Roman" w:cs="Times New Roman"/>
                <w:sz w:val="16"/>
                <w:szCs w:val="16"/>
              </w:rPr>
              <w:t>Biological impact</w:t>
            </w:r>
          </w:p>
        </w:tc>
        <w:tc>
          <w:tcPr>
            <w:tcW w:w="1134" w:type="dxa"/>
            <w:gridSpan w:val="2"/>
          </w:tcPr>
          <w:p w:rsidR="0083426D" w:rsidRPr="00C9702D" w:rsidRDefault="0083426D" w:rsidP="00C9702D">
            <w:pPr>
              <w:rPr>
                <w:rFonts w:ascii="Times New Roman" w:hAnsi="Times New Roman" w:cs="Times New Roman"/>
                <w:sz w:val="16"/>
                <w:szCs w:val="16"/>
              </w:rPr>
            </w:pPr>
            <w:r w:rsidRPr="00C9702D">
              <w:rPr>
                <w:rFonts w:ascii="Times New Roman" w:hAnsi="Times New Roman" w:cs="Times New Roman"/>
                <w:sz w:val="16"/>
                <w:szCs w:val="16"/>
              </w:rPr>
              <w:t>Protein stability</w:t>
            </w:r>
          </w:p>
        </w:tc>
      </w:tr>
      <w:tr w:rsidR="0083426D" w:rsidRPr="00C9702D" w:rsidTr="0083426D">
        <w:tc>
          <w:tcPr>
            <w:tcW w:w="915" w:type="dxa"/>
          </w:tcPr>
          <w:p w:rsidR="0083426D" w:rsidRPr="00C9702D" w:rsidRDefault="0083426D" w:rsidP="00C9702D">
            <w:pPr>
              <w:rPr>
                <w:rFonts w:ascii="Times New Roman" w:hAnsi="Times New Roman" w:cs="Times New Roman"/>
                <w:b/>
                <w:sz w:val="16"/>
                <w:szCs w:val="16"/>
              </w:rPr>
            </w:pPr>
            <w:bookmarkStart w:id="0" w:name="_Hlk514098257"/>
            <w:r w:rsidRPr="00C9702D">
              <w:rPr>
                <w:rFonts w:ascii="Times New Roman" w:hAnsi="Times New Roman" w:cs="Times New Roman"/>
                <w:b/>
                <w:sz w:val="16"/>
                <w:szCs w:val="16"/>
              </w:rPr>
              <w:t>Motif</w:t>
            </w:r>
          </w:p>
        </w:tc>
        <w:tc>
          <w:tcPr>
            <w:tcW w:w="903"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Mutation</w:t>
            </w:r>
          </w:p>
        </w:tc>
        <w:tc>
          <w:tcPr>
            <w:tcW w:w="445" w:type="dxa"/>
            <w:gridSpan w:val="2"/>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PS</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MP</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Ph-S</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PP-1</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PP-2</w:t>
            </w:r>
          </w:p>
        </w:tc>
        <w:tc>
          <w:tcPr>
            <w:tcW w:w="426"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SF</w:t>
            </w:r>
          </w:p>
        </w:tc>
        <w:tc>
          <w:tcPr>
            <w:tcW w:w="425"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SP</w:t>
            </w:r>
          </w:p>
        </w:tc>
        <w:tc>
          <w:tcPr>
            <w:tcW w:w="3118"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MutPred2</w:t>
            </w:r>
          </w:p>
        </w:tc>
        <w:tc>
          <w:tcPr>
            <w:tcW w:w="567" w:type="dxa"/>
          </w:tcPr>
          <w:p w:rsidR="0083426D" w:rsidRPr="00C9702D" w:rsidRDefault="0083426D" w:rsidP="00C9702D">
            <w:pPr>
              <w:rPr>
                <w:rFonts w:ascii="Times New Roman" w:hAnsi="Times New Roman" w:cs="Times New Roman"/>
                <w:b/>
                <w:sz w:val="16"/>
                <w:szCs w:val="16"/>
              </w:rPr>
            </w:pPr>
            <w:proofErr w:type="spellStart"/>
            <w:r w:rsidRPr="00C9702D">
              <w:rPr>
                <w:rFonts w:ascii="Times New Roman" w:hAnsi="Times New Roman" w:cs="Times New Roman"/>
                <w:b/>
                <w:sz w:val="16"/>
                <w:szCs w:val="16"/>
              </w:rPr>
              <w:t>Pr</w:t>
            </w:r>
            <w:proofErr w:type="spellEnd"/>
          </w:p>
        </w:tc>
        <w:tc>
          <w:tcPr>
            <w:tcW w:w="851"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P-value</w:t>
            </w:r>
          </w:p>
        </w:tc>
        <w:tc>
          <w:tcPr>
            <w:tcW w:w="2126" w:type="dxa"/>
          </w:tcPr>
          <w:p w:rsidR="0083426D" w:rsidRPr="00C9702D" w:rsidRDefault="0083426D" w:rsidP="00C9702D">
            <w:pPr>
              <w:jc w:val="center"/>
              <w:rPr>
                <w:rFonts w:ascii="Times New Roman" w:hAnsi="Times New Roman" w:cs="Times New Roman"/>
                <w:b/>
                <w:sz w:val="16"/>
                <w:szCs w:val="16"/>
              </w:rPr>
            </w:pPr>
            <w:r w:rsidRPr="00C9702D">
              <w:rPr>
                <w:rFonts w:ascii="Times New Roman" w:hAnsi="Times New Roman" w:cs="Times New Roman"/>
                <w:b/>
                <w:sz w:val="16"/>
                <w:szCs w:val="16"/>
              </w:rPr>
              <w:t>Affected functional sites</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AG</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AM</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IM</w:t>
            </w:r>
          </w:p>
        </w:tc>
        <w:tc>
          <w:tcPr>
            <w:tcW w:w="567" w:type="dxa"/>
          </w:tcPr>
          <w:p w:rsidR="0083426D" w:rsidRPr="00C9702D" w:rsidRDefault="0083426D" w:rsidP="00C9702D">
            <w:pPr>
              <w:rPr>
                <w:rFonts w:ascii="Times New Roman" w:hAnsi="Times New Roman" w:cs="Times New Roman"/>
                <w:b/>
                <w:sz w:val="16"/>
                <w:szCs w:val="16"/>
              </w:rPr>
            </w:pPr>
            <w:r w:rsidRPr="00C9702D">
              <w:rPr>
                <w:rFonts w:ascii="Times New Roman" w:hAnsi="Times New Roman" w:cs="Times New Roman"/>
                <w:b/>
                <w:sz w:val="16"/>
                <w:szCs w:val="16"/>
              </w:rPr>
              <w:t>MP</w:t>
            </w:r>
          </w:p>
        </w:tc>
      </w:tr>
      <w:bookmarkEnd w:id="0"/>
      <w:tr w:rsidR="00C9702D" w:rsidRPr="00C9702D" w:rsidTr="00C9702D">
        <w:tc>
          <w:tcPr>
            <w:tcW w:w="915" w:type="dxa"/>
          </w:tcPr>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Walker A</w:t>
            </w:r>
          </w:p>
        </w:tc>
        <w:tc>
          <w:tcPr>
            <w:tcW w:w="903" w:type="dxa"/>
          </w:tcPr>
          <w:p w:rsidR="0083426D" w:rsidRPr="00C9702D" w:rsidRDefault="0083426D" w:rsidP="00C9702D">
            <w:pPr>
              <w:shd w:val="clear" w:color="auto" w:fill="FFFFFF" w:themeFill="background1"/>
              <w:rPr>
                <w:rFonts w:ascii="Times New Roman" w:hAnsi="Times New Roman" w:cs="Times New Roman"/>
                <w:sz w:val="16"/>
                <w:szCs w:val="16"/>
              </w:rPr>
            </w:pPr>
          </w:p>
          <w:p w:rsidR="0083426D" w:rsidRPr="00C9702D" w:rsidRDefault="0083426D" w:rsidP="00C9702D">
            <w:pPr>
              <w:shd w:val="clear" w:color="auto" w:fill="FFFFFF" w:themeFill="background1"/>
              <w:rPr>
                <w:rFonts w:ascii="Times New Roman" w:hAnsi="Times New Roman" w:cs="Times New Roman"/>
                <w:sz w:val="16"/>
                <w:szCs w:val="16"/>
              </w:rPr>
            </w:pPr>
          </w:p>
          <w:p w:rsidR="0083426D" w:rsidRPr="00C9702D" w:rsidRDefault="0083426D" w:rsidP="00C9702D">
            <w:pPr>
              <w:shd w:val="clear" w:color="auto" w:fill="FFFFFF" w:themeFill="background1"/>
              <w:rPr>
                <w:rFonts w:ascii="Times New Roman" w:hAnsi="Times New Roman" w:cs="Times New Roman"/>
                <w:sz w:val="16"/>
                <w:szCs w:val="16"/>
              </w:rPr>
            </w:pP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P37A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"10.1074/jbc.M111.256305", "abstract" : "The ATP binding cassette (ABC) proteins make up a large superfamily with members coming from all kingdoms. The functional form of the ABC protein nucleotide binding domain (NBD) is dimeric with ATP binding sites shared between sub- units. The NBD is defined by six motifs: the Walker A, Q-loop, Signature, Walker-B, D-loop, and H-loop. The D-loop contains a conserved aspartate whose function is not clear but has been proposed to be involved in cross-talk between ATP binding sites. Structures of various ABC proteins suggest an interaction between the D-loop aspartate and an asparagine residue located in WalkerAloop of the opposing subunit. Here, we evaluate the functional role of the D-loop using a bacteriophage T4 ABC protein, Rad50 (gp46). Mutation of either the D-loop aspartate or the Walker A asparagine results in dramatic reductions in ATP affinity, hydrolysis rate, and cooperativity. The mutant proteins bind Mre11 (gp47) and DNA normally, but no longer support the ATP-dependent nuclease activities of Mre11. We propose that the D-loop aspartate functions to stabilize the Walker A asparagine in a position favorable for catalysis. We find that the asparagine is crucially important to the mechanism of ATP hydrolysis by increasing the affinity for ATP and posi- tioning the ? -phosphate of ATP for catalysis. Additionally, we propose that the asparagine acts as a ? -phosphate sensor and, through its interaction with the conserved D-loop aspartate, transmits conformational changes across the dimer interface to the second ATP binding site.", "author" : [ { "dropping-particle" : "", "family" : "La Rosa Metzere Bierlein", "given" : "", "non-dropping-particle" : "De", "parse-names" : false, "suffix" : "" }, { "dropping-particle" : "", "family" : "and Scott W. Nelson", "given" : "", "non-dropping-particle" : "", "parse-names" : false, "suffix" : "" } ], "container-title" : "The Journal of biological chemistry", "id" : "ITEM-1", "issue" : "29", "issued" : { "date-parts" : [ [ "2011" ] ] }, "page" : "26258-26266", "title" : "An Interaction between the Walker A and D-loop Motifs Is Critical to ATP Hydrolysis and Cooperativity in Bacteriophage", "type" : "article-journal", "volume" : "286" }, "uris" : [ "http://www.mendeley.com/documents/?uuid=bf3183e7-8be5-42e2-a8c9-0cd8d4513773" ] } ], "mendeley" : { "formattedCitation" : "[2]", "plainTextFormattedCitation" : "[2]", "previouslyFormattedCitation" : "[2]"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[2]</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ordered interface</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relative solvent accessibility</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allosteric site at N38</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DNA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metal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catalytic site at G39</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methylation at K42</w:t>
            </w:r>
            <w:r w:rsidRPr="00C9702D">
              <w:rPr>
                <w:rFonts w:ascii="Times New Roman" w:hAnsi="Times New Roman" w:cs="Times New Roman"/>
                <w:sz w:val="16"/>
                <w:szCs w:val="16"/>
              </w:rPr>
              <w:tab/>
            </w:r>
          </w:p>
        </w:tc>
        <w:tc>
          <w:tcPr>
            <w:tcW w:w="567" w:type="dxa"/>
          </w:tcPr>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0.34</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0.32</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0.28</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0.25</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0.24</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0.19</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0.17</w:t>
            </w:r>
          </w:p>
        </w:tc>
        <w:tc>
          <w:tcPr>
            <w:tcW w:w="851" w:type="dxa"/>
          </w:tcPr>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7.3e-03</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5.8e-03</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3.3e-03</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8.1e-03</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0.01</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8.9e-03</w:t>
            </w:r>
          </w:p>
        </w:tc>
        <w:tc>
          <w:tcPr>
            <w:tcW w:w="2126" w:type="dxa"/>
            <w:shd w:val="clear" w:color="auto" w:fill="auto"/>
          </w:tcPr>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w:t>
            </w:r>
            <w:proofErr w:type="spellStart"/>
            <w:r w:rsidRPr="00C9702D">
              <w:rPr>
                <w:rFonts w:ascii="Times New Roman" w:hAnsi="Times New Roman" w:cs="Times New Roman"/>
                <w:sz w:val="16"/>
                <w:szCs w:val="16"/>
              </w:rPr>
              <w:t>myristoylation</w:t>
            </w:r>
            <w:proofErr w:type="spellEnd"/>
            <w:r w:rsidRPr="00C9702D">
              <w:rPr>
                <w:rFonts w:ascii="Times New Roman" w:hAnsi="Times New Roman" w:cs="Times New Roman"/>
                <w:sz w:val="16"/>
                <w:szCs w:val="16"/>
              </w:rPr>
              <w:t xml:space="preserve"> site</w:t>
            </w:r>
          </w:p>
          <w:p w:rsidR="0083426D" w:rsidRPr="00C9702D" w:rsidRDefault="0083426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-ATP/GTP-binding site motif A (P-loop)</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p>
          <w:p w:rsidR="0083426D" w:rsidRPr="00C9702D" w:rsidRDefault="0083426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val="restart"/>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Zinc hook</w:t>
            </w:r>
          </w:p>
        </w:tc>
        <w:tc>
          <w:tcPr>
            <w:tcW w:w="903"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C680G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"10.1093/mutage/gem011", "ISBN" : "0267-8357 (Print)\\r0267-8357 (Linking)", "ISSN" : "02678357", "PMID" : "17426050", "abstract" : "The Mre11 complex (Mre11-Rad50-Nbs1) is involved in a diverse array of DNA metabolic processes including the response to DNA double-strand breaks (DSBs). The structure of Rad50 plays a key role in the DNA-binding and end-bridging activity of the complex. An interesting feature within the central portion of the Rad50 protein is the Rad50 hook region that is defined by the highly conserved CXXC motif. The structure of the Pyrococcus furiosus Rad50 hook region revealed an intermolecular dimerization of Rad50 through the coordination of a zinc ion by the four cysteines. Biochemical and genetic analysis in Saccharomyces cerevisiae have shown that mutations in the conserved cysteines impact all functions of the Mre11 complex including interaction with Mre11, increased sensitivity to DSB inducing agents, telomere maintenance and intrachromosomal association. Mutations in the yeast hook domain can lead to increased chromosome fragmentation, suggesting that the hook domain of Rad50 is essential for the tethering of chromosome ends. In this study, we have examined the effects of mutating the key cysteine residues in the hook domain of human Rad50 (hRad50), focusing on the interactions Rad50 has with itself, Mre11 and DNA. Our results reveal that mutation of the conserved cysteine residues abrogates dimerization at the hook domain in hRad50; however, disrupting dimerization at this domain does not appear to impair the interaction of full-length hRad50 with itself and hMre11 or affect DNA-binding activity of the hMre11-Rad50 complex.", "author" : [ { "dropping-particle" : "", "family" : "Cahill", "given" : "Dana", "non-dropping-particle" : "", "parse-names" : false, "suffix" : "" }, { "dropping-particle" : "", "family" : "Carney", "given" : "James P.", "non-dropping-particle" : "", "parse-names" : false, "suffix" : "" } ], "container-title" : "Mutagenesis", "id" : "ITEM-1", "issue" : "4", "issued" : { "date-parts" : [ [ "2007" ] ] }, "page" : "269-274", "title" : "Dimerization of the Rad50 protein is independent of the conserved hook domain", "type" : "article-journal", "volume" : "22" }, "uris" : [ "http://www.mendeley.com/documents/?uuid=1b7cd767-045d-4e9b-86ec-d0ab992678da" ] } ], "mendeley" : { "formattedCitation" : "[8]", "plainTextFormattedCitation" : "[8]", "previouslyFormattedCitation" : "[8]"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[8]</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N-linked glycosylation at N677</w:t>
            </w:r>
            <w:r w:rsidRPr="00C9702D">
              <w:rPr>
                <w:rFonts w:ascii="Times New Roman" w:hAnsi="Times New Roman" w:cs="Times New Roman"/>
                <w:sz w:val="16"/>
                <w:szCs w:val="16"/>
              </w:rPr>
              <w:tab/>
            </w:r>
          </w:p>
        </w:tc>
        <w:tc>
          <w:tcPr>
            <w:tcW w:w="567"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tc>
        <w:tc>
          <w:tcPr>
            <w:tcW w:w="851"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N-glycosylation site</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Glycosaminoglycan attachment site</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w:t>
            </w:r>
            <w:proofErr w:type="spellStart"/>
            <w:r w:rsidRPr="00C9702D">
              <w:rPr>
                <w:rFonts w:ascii="Times New Roman" w:hAnsi="Times New Roman" w:cs="Times New Roman"/>
                <w:sz w:val="16"/>
                <w:szCs w:val="16"/>
              </w:rPr>
              <w:t>myristoylation</w:t>
            </w:r>
            <w:proofErr w:type="spellEnd"/>
            <w:r w:rsidRPr="00C9702D">
              <w:rPr>
                <w:rFonts w:ascii="Times New Roman" w:hAnsi="Times New Roman" w:cs="Times New Roman"/>
                <w:sz w:val="16"/>
                <w:szCs w:val="16"/>
              </w:rPr>
              <w:t xml:space="preserve"> site</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C9702D" w:rsidRPr="00C9702D" w:rsidRDefault="00C9702D" w:rsidP="00C9702D">
            <w:pPr>
              <w:shd w:val="clear" w:color="auto" w:fill="FFFFFF" w:themeFill="background1"/>
              <w:rPr>
                <w:rFonts w:ascii="Times New Roman" w:hAnsi="Times New Roman" w:cs="Times New Roman"/>
                <w:sz w:val="16"/>
                <w:szCs w:val="16"/>
              </w:rPr>
            </w:pPr>
          </w:p>
        </w:tc>
        <w:tc>
          <w:tcPr>
            <w:tcW w:w="903" w:type="dxa"/>
          </w:tcPr>
          <w:p w:rsidR="00C9702D" w:rsidRPr="00C9702D" w:rsidRDefault="00C9702D" w:rsidP="00C9702D">
            <w:pPr>
              <w:shd w:val="clear" w:color="auto" w:fill="FFFFFF" w:themeFill="background1"/>
              <w:rPr>
                <w:rFonts w:ascii="Times New Roman" w:hAnsi="Times New Roman" w:cs="Times New Roman"/>
                <w:sz w:val="12"/>
                <w:szCs w:val="12"/>
              </w:rPr>
            </w:pPr>
            <w:r w:rsidRPr="00C9702D">
              <w:rPr>
                <w:rFonts w:ascii="Times New Roman" w:hAnsi="Times New Roman" w:cs="Times New Roman"/>
                <w:sz w:val="16"/>
                <w:szCs w:val="16"/>
              </w:rPr>
              <w:t xml:space="preserve">P682R </w:t>
            </w:r>
            <w:r w:rsidRPr="00C9702D">
              <w:rPr>
                <w:rFonts w:ascii="Times New Roman" w:hAnsi="Times New Roman" w:cs="Times New Roman"/>
                <w:sz w:val="12"/>
                <w:szCs w:val="12"/>
              </w:rPr>
              <w:t xml:space="preserve"> </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helix</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coiled coil</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N-linked glycosylation at N677</w:t>
            </w:r>
            <w:r w:rsidRPr="00C9702D">
              <w:rPr>
                <w:rFonts w:ascii="Times New Roman" w:hAnsi="Times New Roman" w:cs="Times New Roman"/>
                <w:sz w:val="16"/>
                <w:szCs w:val="16"/>
              </w:rPr>
              <w:tab/>
            </w:r>
          </w:p>
        </w:tc>
        <w:tc>
          <w:tcPr>
            <w:tcW w:w="567"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0.32</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0.09</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tc>
        <w:tc>
          <w:tcPr>
            <w:tcW w:w="851"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2.8e-03</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tc>
        <w:tc>
          <w:tcPr>
            <w:tcW w:w="2126" w:type="dxa"/>
            <w:shd w:val="clear" w:color="auto" w:fill="auto"/>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C9702D" w:rsidRPr="00C9702D" w:rsidRDefault="00C9702D" w:rsidP="00C9702D">
            <w:pPr>
              <w:shd w:val="clear" w:color="auto" w:fill="FFFFFF" w:themeFill="background1"/>
              <w:rPr>
                <w:rFonts w:ascii="Times New Roman" w:hAnsi="Times New Roman" w:cs="Times New Roman"/>
                <w:sz w:val="16"/>
                <w:szCs w:val="16"/>
              </w:rPr>
            </w:pPr>
          </w:p>
        </w:tc>
        <w:tc>
          <w:tcPr>
            <w:tcW w:w="903"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C684G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"10.1093/mutage/gem011", "ISBN" : "0267-8357 (Print)\\r0267-8357 (Linking)", "ISSN" : "02678357", "PMID" : "17426050", "abstract" : "The Mre11 complex (Mre11-Rad50-Nbs1) is involved in a diverse array of DNA metabolic processes including the response to DNA double-strand breaks (DSBs). The structure of Rad50 plays a key role in the DNA-binding and end-bridging activity of the complex. An interesting feature within the central portion of the Rad50 protein is the Rad50 hook region that is defined by the highly conserved CXXC motif. The structure of the Pyrococcus furiosus Rad50 hook region revealed an intermolecular dimerization of Rad50 through the coordination of a zinc ion by the four cysteines. Biochemical and genetic analysis in Saccharomyces cerevisiae have shown that mutations in the conserved cysteines impact all functions of the Mre11 complex including interaction with Mre11, increased sensitivity to DSB inducing agents, telomere maintenance and intrachromosomal association. Mutations in the yeast hook domain can lead to increased chromosome fragmentation, suggesting that the hook domain of Rad50 is essential for the tethering of chromosome ends. In this study, we have examined the effects of mutating the key cysteine residues in the hook domain of human Rad50 (hRad50), focusing on the interactions Rad50 has with itself, Mre11 and DNA. Our results reveal that mutation of the conserved cysteine residues abrogates dimerization at the hook domain in hRad50; however, disrupting dimerization at this domain does not appear to impair the interaction of full-length hRad50 with itself and hMre11 or affect DNA-binding activity of the hMre11-Rad50 complex.", "author" : [ { "dropping-particle" : "", "family" : "Cahill", "given" : "Dana", "non-dropping-particle" : "", "parse-names" : false, "suffix" : "" }, { "dropping-particle" : "", "family" : "Carney", "given" : "James P.", "non-dropping-particle" : "", "parse-names" : false, "suffix" : "" } ], "container-title" : "Mutagenesis", "id" : "ITEM-1", "issue" : "4", "issued" : { "date-parts" : [ [ "2007" ] ] }, "page" : "269-274", "title" : "Dimerization of the Rad50 protein is independent of the conserved hook domain", "type" : "article-journal", "volume" : "22" }, "uris" : [ "http://www.mendeley.com/documents/?uuid=1b7cd767-045d-4e9b-86ec-d0ab992678da" ] } ], "mendeley" : { "formattedCitation" : "[8]", "plainTextFormattedCitation" : "[8]", "previouslyFormattedCitation" : "[8]"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[8]</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C9702D" w:rsidRPr="00C9702D" w:rsidRDefault="00C9702D" w:rsidP="00C9702D">
            <w:pPr>
              <w:shd w:val="clear" w:color="auto" w:fill="FFFFFF" w:themeFill="background1"/>
              <w:rPr>
                <w:rFonts w:ascii="Times New Roman" w:hAnsi="Times New Roman" w:cs="Times New Roman"/>
                <w:sz w:val="16"/>
                <w:szCs w:val="16"/>
              </w:rPr>
            </w:pPr>
          </w:p>
        </w:tc>
        <w:tc>
          <w:tcPr>
            <w:tcW w:w="903"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R686A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"10.1093/mutage/gem011", "ISBN" : "0267-8357 (Print)\\r0267-8357 (Linking)", "ISSN" : "02678357", "PMID" : "17426050", "abstract" : "The Mre11 complex (Mre11-Rad50-Nbs1) is involved in a diverse array of DNA metabolic processes including the response to DNA double-strand breaks (DSBs). The structure of Rad50 plays a key role in the DNA-binding and end-bridging activity of the complex. An interesting feature within the central portion of the Rad50 protein is the Rad50 hook region that is defined by the highly conserved CXXC motif. The structure of the Pyrococcus furiosus Rad50 hook region revealed an intermolecular dimerization of Rad50 through the coordination of a zinc ion by the four cysteines. Biochemical and genetic analysis in Saccharomyces cerevisiae have shown that mutations in the conserved cysteines impact all functions of the Mre11 complex including interaction with Mre11, increased sensitivity to DSB inducing agents, telomere maintenance and intrachromosomal association. Mutations in the yeast hook domain can lead to increased chromosome fragmentation, suggesting that the hook domain of Rad50 is essential for the tethering of chromosome ends. In this study, we have examined the effects of mutating the key cysteine residues in the hook domain of human Rad50 (hRad50), focusing on the interactions Rad50 has with itself, Mre11 and DNA. Our results reveal that mutation of the conserved cysteine residues abrogates dimerization at the hook domain in hRad50; however, disrupting dimerization at this domain does not appear to impair the interaction of full-length hRad50 with itself and hMre11 or affect DNA-binding activity of the hMre11-Rad50 complex.", "author" : [ { "dropping-particle" : "", "family" : "Cahill", "given" : "Dana", "non-dropping-particle" : "", "parse-names" : false, "suffix" : "" }, { "dropping-particle" : "", "family" : "Carney", "given" : "James P.", "non-dropping-particle" : "", "parse-names" : false, "suffix" : "" } ], "container-title" : "Mutagenesis", "id" : "ITEM-1", "issue" : "4", "issued" : { "date-parts" : [ [ "2007" ] ] }, "page" : "269-274", "title" : "Dimerization of the Rad50 protein is independent of the conserved hook domain", "type" : "article-journal", "volume" : "22" }, "uris" : [ "http://www.mendeley.com/documents/?uuid=1b7cd767-045d-4e9b-86ec-d0ab992678da" ] } ], "mendeley" : { "formattedCitation" : "[8]", "plainTextFormattedCitation" : "[8]", "previouslyFormattedCitation" : "[8]"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[8]</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C9702D"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C9702D" w:rsidRPr="00C9702D" w:rsidRDefault="00C9702D"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val="restart"/>
          </w:tcPr>
          <w:p w:rsidR="004F4C16" w:rsidRPr="00C9702D" w:rsidRDefault="00C9702D"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Signature motif</w:t>
            </w: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A1203G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"10.1021/bi200184w", "ISSN" : "00062960", "PMID" : "21675703", "abstract" : "The repair of DNA double-strand breaks (DSBs) is essential to maintaining the integrity of the genome, and organisms have evolved a conserved mechanism to facilitate their repair. In eukaryotes, archaea, and some bacteriophage, a complex made up of Mre11 and Rad50 (MR complex), which are a nuclease and ATPase, respectively, is involved in the initial processing of DSBs. Rad50 is a member of the ATP Binding Cassette (ABC) protein superfamily, the members of which contain an important Signature motif that acts in trans to complete the dimeric ATP binding site. To explore the functional relevance of this motif, four of its five residues were mutated in bacteriophage T4 Rad50, and their respective ATPase and nuclease activities were evaluated. The mutations reveal the functional roles of the Signature motif in ATP binding, hydrolysis, and cooperativity. In several mutants, the degree of DNA activation of ATP hydrolysis activity is reduced, indicating that the Signature motif is involved in allosteric signal transmission between the DNA and ATP binding sites of the MR complex. ATP hydrolysis is not required for nuclease activity when the probe is near the beginning of the DNA substrate; however, when an internal probe is used, decreases in ATPase activity have substantial effects on nuclease activity, suggesting that ATP hydrolysis is involved in translocation of the complex. Unexpectedly, the ATP hydrolysis and nuclease activities are not directly correlated with each other, and each mutation appears to differentially affect the exonuclease activity of Mre11.", "author" : [ { "dropping-particle" : "", "family" : "Herdendorf", "given" : "Timothy J.", "non-dropping-particle" : "", "parse-names" : false, "suffix" : "" }, { "dropping-particle" : "", "family" : "Nelson", "given" : "Scott W.", "non-dropping-particle" : "", "parse-names" : false, "suffix" : "" } ], "container-title" : "Biochemistry", "id" : "ITEM-1", "issue" : "27", "issued" : { "date-parts" : [ [ "2011" ] ] }, "page" : "6030-6040", "title" : "Functional evaluation of bacteriophage T4 Rad50 signature motif residues", "type" : "article-journal", "volume" : "50" }, "uris" : [ "http://www.mendeley.com/documents/?uuid=946d9186-4def-4571-a3bd-245e3fc1fc67" ] } ], "mendeley" : { "formattedCitation" : "[16]", "plainTextFormattedCitation" : "[16]", "previouslyFormattedCitation" : "[16]"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allosteric site at R1200</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catalytic site at R1200</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methylation at K1206</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0.20</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0.10</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0.01</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PKA Phosphorylation site</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Glycosaminoglycan attachment site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K1206G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"10.1002/embj.201386100", "ISBN" : "1460-2075 (Electronic)\\r0261-4189 (Linking)", "ISSN" : "14602075", "PMID" : "24493214", "abstract" : "The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 "author" : [ { "dropping-particle" : "", "family" : "Deshpande", "given" : "Rajashree A.", "non-dropping-particle" : "", "parse-names" : false, "suffix" : "" }, { "dropping-particle" : "", "family" : "Williams", "given" : "Gareth J.", "non-dropping-particle" : "", "parse-names" : false, "suffix" : "" }, { "dropping-particle" : "", "family" : "Limbo", "given" : "Oliver", "non-dropping-particle" : "", "parse-names" : false, "suffix" : "" }, { "dropping-particle" : "", "family" : "Williams", "given" : "R. Scott", "non-dropping-particle" : "", "parse-names" : false, "suffix" : "" }, { "dropping-particle" : "", "family" : "Kuhnlein", "given" : "Jeff", "non-dropping-particle" : "", "parse-names" : false, "suffix" : "" }, { "dropping-particle" : "", "family" : "Lee", "given" : "Ji Hoon", "non-dropping-particle" : "", "parse-names" : false, "suffix" : "" }, { "dropping-particle" : "", "family" : "Classen", "given" : "Scott", "non-dropping-particle" : "", "parse-names" : false, "suffix" : "" }, { "dropping-particle" : "", "family" : "Guenther", "given" : "Grant", "non-dropping-particle" : "", "parse-names" : false, "suffix" : "" }, { "dropping-particle" : "", "family" : "Russell", "given" : "Paul", "non-dropping-particle" : "", "parse-names" : false, "suffix" : "" }, { "dropping-particle" : "", "family" : "Tainer", "given" : "John A.", "non-dropping-particle" : "", "parse-names" : false, "suffix" : "" }, { "dropping-particle" : "", "family" : "Paull", "given" : "Tanya T.", "non-dropping-particle" : "", "parse-names" : false, "suffix" : "" } ], "container-title" : "EMBO Journal", "id" : "ITEM-1", "issue" : "5", "issued" : { "date-parts" : [ [ "2014" ] ] }, "page" : "482-500", "title" : "ATP-driven Rad50 conformations regulate DNA tethering, end resection, and ATM checkpoint signaling", "type" : "article-journal", "volume" : "33" }, "uris" : [ "http://www.mendeley.com/documents/?uuid=52ca34c0-bd2a-4e48-ae0d-77c445a07077" ] } ], "mendeley" : { "formattedCitation" : "[13]", "plainTextFormattedCitation" : "[13]", "previouslyFormattedCitation" : "[13]"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catalytic site at K1206</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0.09</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0.05</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w:t>
            </w:r>
            <w:proofErr w:type="spellStart"/>
            <w:r w:rsidRPr="00C9702D">
              <w:rPr>
                <w:rFonts w:ascii="Times New Roman" w:hAnsi="Times New Roman" w:cs="Times New Roman"/>
                <w:sz w:val="16"/>
                <w:szCs w:val="16"/>
              </w:rPr>
              <w:t>myristoylation</w:t>
            </w:r>
            <w:proofErr w:type="spellEnd"/>
            <w:r w:rsidRPr="00C9702D">
              <w:rPr>
                <w:rFonts w:ascii="Times New Roman" w:hAnsi="Times New Roman" w:cs="Times New Roman"/>
                <w:sz w:val="16"/>
                <w:szCs w:val="16"/>
              </w:rPr>
              <w:t xml:space="preserve"> site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R1214L</w:t>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allosteric site at R1214</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0.22</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Nuclear receptor box</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SUMO interaction site</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ATP-binding cassette, ABC transporter-type, signature and profile</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R1214W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"10.1002/embj.201386100", "ISBN" : "1460-2075 (Electronic)\\r0261-4189 (Linking)", "ISSN" : "14602075", "PMID" : "24493214", "abstract" : "The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 "author" : [ { "dropping-particle" : "", "family" : "Deshpande", "given" : "Rajashree A.", "non-dropping-particle" : "", "parse-names" : false, "suffix" : "" }, { "dropping-particle" : "", "family" : "Williams", "given" : "Gareth J.", "non-dropping-particle" : "", "parse-names" : false, "suffix" : "" }, { "dropping-particle" : "", "family" : "Limbo", "given" : "Oliver", "non-dropping-particle" : "", "parse-names" : false, "suffix" : "" }, { "dropping-particle" : "", "family" : "Williams", "given" : "R. Scott", "non-dropping-particle" : "", "parse-names" : false, "suffix" : "" }, { "dropping-particle" : "", "family" : "Kuhnlein", "given" : "Jeff", "non-dropping-particle" : "", "parse-names" : false, "suffix" : "" }, { "dropping-particle" : "", "family" : "Lee", "given" : "Ji Hoon", "non-dropping-particle" : "", "parse-names" : false, "suffix" : "" }, { "dropping-particle" : "", "family" : "Classen", "given" : "Scott", "non-dropping-particle" : "", "parse-names" : false, "suffix" : "" }, { "dropping-particle" : "", "family" : "Guenther", "given" : "Grant", "non-dropping-particle" : "", "parse-names" : false, "suffix" : "" }, { "dropping-particle" : "", "family" : "Russell", "given" : "Paul", "non-dropping-particle" : "", "parse-names" : false, "suffix" : "" }, { "dropping-particle" : "", "family" : "Tainer", "given" : "John A.", "non-dropping-particle" : "", "parse-names" : false, "suffix" : "" }, { "dropping-particle" : "", "family" : "Paull", "given" : "Tanya T.", "non-dropping-particle" : "", "parse-names" : false, "suffix" : "" } ], "container-title" : "EMBO Journal", "id" : "ITEM-1", "issue" : "5", "issued" : { "date-parts" : [ [ "2014" ] ] }, "page" : "482-500", "title" : "ATP-driven Rad50 conformations regulate DNA tethering, end resection, and ATM checkpoint signaling", "type" : "article-journal", "volume" : "33" }, "uris" : [ "http://www.mendeley.com/documents/?uuid=52ca34c0-bd2a-4e48-ae0d-77c445a07077" ] } ], "mendeley" : { "formattedCitation" : "[13]", "plainTextFormattedCitation" : "[13]", "previouslyFormattedCitation" : "[13]"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allosteric site at R1214</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0.21</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ATP-binding cassette, ABC transporter-type, signature and profile</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L1215F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"10.1002/embj.201386100", "ISBN" : "1460-2075 (Electronic)\\r0261-4189 (Linking)", "ISSN" : "14602075", "PMID" : "24493214", "abstract" : "The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 "author" : [ { "dropping-particle" : "", "family" : "Deshpande", "given" : "Rajashree A.", "non-dropping-particle" : "", "parse-names" : false, "suffix" : "" }, { "dropping-particle" : "", "family" : "Williams", "given" : "Gareth J.", "non-dropping-particle" : "", "parse-names" : false, "suffix" : "" }, { "dropping-particle" : "", "family" : "Limbo", "given" : "Oliver", "non-dropping-particle" : "", "parse-names" : false, "suffix" : "" }, { "dropping-particle" : "", "family" : "Williams", "given" : "R. Scott", "non-dropping-particle" : "", "parse-names" : false, "suffix" : "" }, { "dropping-particle" : "", "family" : "Kuhnlein", "given" : "Jeff", "non-dropping-particle" : "", "parse-names" : false, "suffix" : "" }, { "dropping-particle" : "", "family" : "Lee", "given" : "Ji Hoon", "non-dropping-particle" : "", "parse-names" : false, "suffix" : "" }, { "dropping-particle" : "", "family" : "Classen", "given" : "Scott", "non-dropping-particle" : "", "parse-names" : false, "suffix" : "" }, { "dropping-particle" : "", "family" : "Guenther", "given" : "Grant", "non-dropping-particle" : "", "parse-names" : false, "suffix" : "" }, { "dropping-particle" : "", "family" : "Russell", "given" : "Paul", "non-dropping-particle" : "", "parse-names" : false, "suffix" : "" }, { "dropping-particle" : "", "family" : "Tainer", "given" : "John A.", "non-dropping-particle" : "", "parse-names" : false, "suffix" : "" }, { "dropping-particle" : "", "family" : "Paull", "given" : "Tanya T.", "non-dropping-particle" : "", "parse-names" : false, "suffix" : "" } ], "container-title" : "EMBO Journal", "id" : "ITEM-1", "issue" : "5", "issued" : { "date-parts" : [ [ "2014" ] ] }, "page" : "482-500", "title" : "ATP-driven Rad50 conformations regulate DNA tethering, end resection, and ATM checkpoint signaling", "type" : "article-journal", "volume" : "33" }, "uris" : [ "http://www.mendeley.com/documents/?uuid=52ca34c0-bd2a-4e48-ae0d-77c445a07077" ] } ], "mendeley" : { "formattedCitation" : "[13]", "plainTextFormattedCitation" : "[13]", "previouslyFormattedCitation" : "[13]"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allosteric site at R1214</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0.19</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0.05</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Walker B</w:t>
            </w: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D1231N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"10.1038/sj.emboj.7601537", "ISBN" : "0261-4189 (Print)\\n0261-4189 (Linking)", "ISSN" : "0261-4189", "PMID" : "17255941", "abstract" : "RecF, together with RecO and RecR, belongs to a ubiquitous group of recombination mediators (RMs) that includes eukaryotic proteins such as Rad52 and BRCA2. RMs help maintain genome stability in the presence of DNA damage by loading RecA-like recombinases and displacing single-stranded DNA-binding proteins. Here, we present the crystal structure of RecF from Deinococcus radiodurans. RecF exhibits a high degree of structural similarity with the head domain of Rad50, but lacks its long coiled-coil region. The structural homology between RecF and Rad50 is extensive, encompassing the ATPase subdomain and the so-called 'Lobe II' subdomain of Rad50. The pronounced structural conservation between bacterial RecF and evolutionarily diverged eukaryotic Rad50 implies a conserved mechanism of DNA binding and recognition of the boundaries of double-stranded DNA regions. The RecF structure, mutagenesis of conserved motifs and ATP-dependent dimerization of RecF are discussed with respect to its role in promoting presynaptic complex formation at DNA damage sites.", "author" : [ { "dropping-particle" : "", "family" : "Koroleva", "given" : "Olga", "non-dropping-particle" : "", "parse-names" : false, "suffix" : "" }, { "dropping-particle" : "", "family" : "Makharashvili", "given" : "Nodar", "non-dropping-particle" : "", "parse-names" : false, "suffix" : "" }, { "dropping-particle" : "", "family" : "Courcelle", "given" : "Charmain T", "non-dropping-particle" : "", "parse-names" : false, "suffix" : "" }, { "dropping-particle" : "", "family" : "Courcelle", "given" : "Justin", "non-dropping-particle" : "", "parse-names" : false, "suffix" : "" }, { "dropping-particle" : "", "family" : "Korolev", "given" : "Sergey", "non-dropping-particle" : "", "parse-names" : false, "suffix" : "" } ], "container-title" : "The EMBO journal", "id" : "ITEM-1", "issue" : "3", "issued" : { "date-parts" : [ [ "2007" ] ] }, "page" : "867-77", "title" : "Structural conservation of RecF and Rad50: implications for DNA recognition and RecF function.", "type" : "article-journal", "volume" : "26" }, "uris" : [ "http://www.mendeley.com/documents/?uuid=9cf6841d-9c52-48a7-9fb5-55af749d88ab" ] } ], "mendeley" : { "formattedCitation" : "[5]", "plainTextFormattedCitation" : "[5]", "previouslyFormattedCitation" : "[5]"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[5]</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metal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ordered interface</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catalytic site at D1231</w:t>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allosteric site at P1233</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transmembrane protein</w:t>
            </w:r>
            <w:r w:rsidRPr="00C9702D">
              <w:rPr>
                <w:rFonts w:ascii="Times New Roman" w:hAnsi="Times New Roman" w:cs="Times New Roman"/>
                <w:sz w:val="16"/>
                <w:szCs w:val="16"/>
              </w:rPr>
              <w:tab/>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0.42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0.29</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0.29</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0.25</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0.12</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5.8e-03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2.3e-03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0.01</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SUMO interaction site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val="restart"/>
          </w:tcPr>
          <w:p w:rsidR="004F4C16"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D-loop</w:t>
            </w:r>
          </w:p>
          <w:p w:rsidR="00E84D11" w:rsidRDefault="00E84D11" w:rsidP="00C9702D">
            <w:pPr>
              <w:shd w:val="clear" w:color="auto" w:fill="FFFFFF" w:themeFill="background1"/>
              <w:rPr>
                <w:rFonts w:ascii="Times New Roman" w:hAnsi="Times New Roman" w:cs="Times New Roman"/>
                <w:sz w:val="16"/>
                <w:szCs w:val="16"/>
              </w:rPr>
            </w:pPr>
          </w:p>
          <w:p w:rsidR="00E84D11" w:rsidRDefault="00E84D11" w:rsidP="00C9702D">
            <w:pPr>
              <w:shd w:val="clear" w:color="auto" w:fill="FFFFFF" w:themeFill="background1"/>
              <w:rPr>
                <w:rFonts w:ascii="Times New Roman" w:hAnsi="Times New Roman" w:cs="Times New Roman"/>
                <w:sz w:val="16"/>
                <w:szCs w:val="16"/>
              </w:rPr>
            </w:pPr>
          </w:p>
          <w:p w:rsidR="00E84D11" w:rsidRDefault="00E84D11" w:rsidP="00C9702D">
            <w:pPr>
              <w:shd w:val="clear" w:color="auto" w:fill="FFFFFF" w:themeFill="background1"/>
              <w:rPr>
                <w:rFonts w:ascii="Times New Roman" w:hAnsi="Times New Roman" w:cs="Times New Roman"/>
                <w:sz w:val="16"/>
                <w:szCs w:val="16"/>
              </w:rPr>
            </w:pPr>
          </w:p>
          <w:p w:rsidR="00E84D11" w:rsidRDefault="00E84D11" w:rsidP="00C9702D">
            <w:pPr>
              <w:shd w:val="clear" w:color="auto" w:fill="FFFFFF" w:themeFill="background1"/>
              <w:rPr>
                <w:rFonts w:ascii="Times New Roman" w:hAnsi="Times New Roman" w:cs="Times New Roman"/>
                <w:sz w:val="16"/>
                <w:szCs w:val="16"/>
              </w:rPr>
            </w:pPr>
          </w:p>
          <w:p w:rsidR="00E84D11" w:rsidRDefault="00E84D11" w:rsidP="00C9702D">
            <w:pPr>
              <w:shd w:val="clear" w:color="auto" w:fill="FFFFFF" w:themeFill="background1"/>
              <w:rPr>
                <w:rFonts w:ascii="Times New Roman" w:hAnsi="Times New Roman" w:cs="Times New Roman"/>
                <w:sz w:val="16"/>
                <w:szCs w:val="16"/>
              </w:rPr>
            </w:pPr>
          </w:p>
          <w:p w:rsidR="00E84D11" w:rsidRDefault="00E84D11" w:rsidP="00C9702D">
            <w:pPr>
              <w:shd w:val="clear" w:color="auto" w:fill="FFFFFF" w:themeFill="background1"/>
              <w:rPr>
                <w:rFonts w:ascii="Times New Roman" w:hAnsi="Times New Roman" w:cs="Times New Roman"/>
                <w:sz w:val="16"/>
                <w:szCs w:val="16"/>
              </w:rPr>
            </w:pPr>
          </w:p>
          <w:p w:rsidR="00E84D11" w:rsidRPr="00C9702D" w:rsidRDefault="00E84D11" w:rsidP="00C9702D">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ATPase domain/ coiled-coil</w:t>
            </w: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lastRenderedPageBreak/>
              <w:t xml:space="preserve">E1240Q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"10.1074/jbc.M111.256305", "abstract" : "The ATP binding cassette (ABC) proteins make up a large superfamily with members coming from all kingdoms. The functional form of the ABC protein nucleotide binding domain (NBD) is dimeric with ATP binding sites shared between sub- units. The NBD is defined by six motifs: the Walker A, Q-loop, Signature, Walker-B, D-loop, and H-loop. The D-loop contains a conserved aspartate whose function is not clear but has been proposed to be involved in cross-talk between ATP binding sites. Structures of various ABC proteins suggest an interaction between the D-loop aspartate and an asparagine residue located in WalkerAloop of the opposing subunit. Here, we evaluate the functional role of the D-loop using a bacteriophage T4 ABC protein, Rad50 (gp46). Mutation of either the D-loop aspartate or the Walker A asparagine results in dramatic reductions in ATP affinity, hydrolysis rate, and cooperativity. The mutant proteins bind Mre11 (gp47) and DNA normally, but no longer support the ATP-dependent nuclease activities of Mre11. We propose that the D-loop aspartate functions to stabilize the Walker A asparagine in a position favorable for catalysis. We find that the asparagine is crucially important to the mechanism of ATP hydrolysis by increasing the affinity for ATP and posi- tioning the ? -phosphate of ATP for catalysis. Additionally, we propose that the asparagine acts as a ? -phosphate sensor and, through its interaction with the conserved D-loop aspartate, transmits conformational changes across the dimer interface to the second ATP binding site.", "author" : [ { "dropping-particle" : "", "family" : "La Rosa Metzere Bierlein", "given" : "", "non-dropping-particle" : "De", "parse-names" : false, "suffix" : "" }, { "dropping-particle" : "", "family" : "and Scott W. Nelson", "given" : "", "non-dropping-particle" : "", "parse-names" : false, "suffix" : "" } ], "container-title" : "The Journal of biological chemistry", "id" : "ITEM-1", "issue" : "29", "issued" : { "date-parts" : [ [ "2011" ] ] }, "page" : "26258-26266", "title" : "An Interaction between the Walker A and D-loop Motifs Is Critical to ATP Hydrolysis and Cooperativity in Bacteriophage", "type" : "article-journal", "volume" : "286" }, "uris" : [ "http://www.mendeley.com/documents/?uuid=bf3183e7-8be5-42e2-a8c9-0cd8d4513773" ] } ], "mendeley" : { "formattedCitation" : "[2]", "plainTextFormattedCitation" : "[2]", "previouslyFormattedCitation" : "[2]"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[2]</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N1241A</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"10.1074/jbc.M111.256305", "abstract" : "The ATP binding cassette (ABC) proteins make up a large superfamily with members coming from all kingdoms. The functional form of the ABC protein nucleotide binding domain (NBD) is dimeric with ATP binding sites shared between sub- units. The NBD is defined by six motifs: the Walker A, Q-loop, Signature, Walker-B, D-loop, and H-loop. The D-loop contains a conserved aspartate whose function is not clear but has been proposed to be involved in cross-talk between ATP binding sites. Structures of various ABC proteins suggest an interaction between the D-loop aspartate and an asparagine residue located in WalkerAloop of the opposing subunit. Here, we evaluate the functional role of the D-loop using a bacteriophage T4 ABC protein, Rad50 (gp46). Mutation of either the D-loop aspartate or the Walker A asparagine results in dramatic reductions in ATP affinity, hydrolysis rate, and cooperativity. The mutant proteins bind Mre11 (gp47) and DNA normally, but no longer support the ATP-dependent nuclease activities of Mre11. We propose that the D-loop aspartate functions to stabilize the Walker A asparagine in a position favorable for catalysis. We find that the asparagine is crucially important to the mechanism of ATP hydrolysis by increasing the affinity for ATP and posi- tioning the ? -phosphate of ATP for catalysis. Additionally, we propose that the asparagine acts as a ? -phosphate sensor and, through its interaction with the conserved D-loop aspartate, transmits conformational changes across the dimer interface to the second ATP binding site.", "author" : [ { "dropping-particle" : "", "family" : "La Rosa Metzere Bierlein", "given" : "", "non-dropping-particle" : "De", "parse-names" : false, "suffix" : "" }, { "dropping-particle" : "", "family" : "and Scott W. Nelson", "given" : "", "non-dropping-particle" : "", "parse-names" : false, "suffix" : "" } ], "container-title" : "The Journal of biological chemistry", "id" : "ITEM-1", "issue" : "29", "issued" : { "date-parts" : [ [ "2011" ] ] }, "page" : "26258-26266", "title" : "An Interaction between the Walker A and D-loop Motifs Is Critical to ATP Hydrolysis and Cooperativity in Bacteriophage", "type" : "article-journal", "volume" : "286" }, "uris" : [ "http://www.mendeley.com/documents/?uuid=bf3183e7-8be5-42e2-a8c9-0cd8d4513773" ] } ], "mendeley" : { "formattedCitation" : "[2]", "plainTextFormattedCitation" : "[2]", "previouslyFormattedCitation" : "[2]"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[2]</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ordered interface</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metal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allosteric site at N1236</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coiled coil</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catalytic site at D1238</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0.36</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0.27</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0.20</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0.13</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3.8e-03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7.8e-03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-USP7 binding motif</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S14P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DNA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allosteric site at R13</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strand</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proteolytic cleavage at R13</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0.31</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0.26</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0.15</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1.7e-03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3.1e-03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0.01</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RRM domain ligands</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Q23K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strand</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B-factor</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0.27</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0.25</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PP1-docking motif RVXF</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MAPK docking motifs</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T65E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metal binding</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ordered interface</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methylation at K62</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0.30</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0.28</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0.09</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5.5e-03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0.05</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GSK3 phosphorylation site</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SH3 ligand</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N-</w:t>
            </w:r>
            <w:proofErr w:type="spellStart"/>
            <w:r w:rsidRPr="00C9702D">
              <w:rPr>
                <w:rFonts w:ascii="Times New Roman" w:hAnsi="Times New Roman" w:cs="Times New Roman"/>
                <w:sz w:val="16"/>
                <w:szCs w:val="16"/>
              </w:rPr>
              <w:t>myristoylation</w:t>
            </w:r>
            <w:proofErr w:type="spellEnd"/>
            <w:r w:rsidRPr="00C9702D">
              <w:rPr>
                <w:rFonts w:ascii="Times New Roman" w:hAnsi="Times New Roman" w:cs="Times New Roman"/>
                <w:sz w:val="16"/>
                <w:szCs w:val="16"/>
              </w:rPr>
              <w:t xml:space="preserve"> site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Q81K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DNA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stability</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0.19</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0.12</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PP1-docking motif RVXF</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MAPK docking motifs</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S99P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DNA binding</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ordered interface</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coiled coil</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stability</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0.37</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0.30</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0.11</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0.11</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6.0e-04</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GSK3 phosphorylation site</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SH3 ligand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V101K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Q174A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"10.1002/embj.201386100", "ISBN" : "1460-2075 (Electronic)\\r0261-4189 (Linking)", "ISSN" : "14602075", "PMID" : "24493214", "abstract" : "The Mre11-Rad50 complex is highly conserved, yet the mechanisms by which Rad50 ATP-driven states regulate the sensing, processing and signaling of DNA double-strand breaks are largely unknown. Here we design structure-based mutations in Pyrococcus furiosus Rad50 to alter protein core plasticity and residues undergoing ATP-driven movements within the catalytic domains. With this strategy we identify Rad50 separation-of-function mutants that either promote or destabilize the ATP-bound state. Crystal structures, X-ray scattering, biochemical assays, and functional analyses of mutant PfRad50 complexes show that the ATP-induced 'closed' conformation promotes DNA end binding and end tethering, while hydrolysis-induced opening is essential for DNA resection. Reducing the stability of the ATP-bound state impairs DNA repair and Tel1 (ATM) checkpoint signaling in Schizosaccharomyces pombe, double-strand break resection in Saccharomyces cerevisiae, and ATM activation by human Mre11-Rad50-Nbs1 in vitro, supporting the generality of the P. furiosus Rad50 structure-based mutational analyses. These collective results suggest that ATP-dependent Rad50 conformations switch the Mre11-Rad50 complex between DNA tethering, ATM signaling, and 5' strand resection, revealing molecular mechanisms regulating responses to DNA double-strand breaks.", "author" : [ { "dropping-particle" : "", "family" : "Deshpande", "given" : "Rajashree A.", "non-dropping-particle" : "", "parse-names" : false, "suffix" : "" }, { "dropping-particle" : "", "family" : "Williams", "given" : "Gareth J.", "non-dropping-particle" : "", "parse-names" : false, "suffix" : "" }, { "dropping-particle" : "", "family" : "Limbo", "given" : "Oliver", "non-dropping-particle" : "", "parse-names" : false, "suffix" : "" }, { "dropping-particle" : "", "family" : "Williams", "given" : "R. Scott", "non-dropping-particle" : "", "parse-names" : false, "suffix" : "" }, { "dropping-particle" : "", "family" : "Kuhnlein", "given" : "Jeff", "non-dropping-particle" : "", "parse-names" : false, "suffix" : "" }, { "dropping-particle" : "", "family" : "Lee", "given" : "Ji Hoon", "non-dropping-particle" : "", "parse-names" : false, "suffix" : "" }, { "dropping-particle" : "", "family" : "Classen", "given" : "Scott", "non-dropping-particle" : "", "parse-names" : false, "suffix" : "" }, { "dropping-particle" : "", "family" : "Guenther", "given" : "Grant", "non-dropping-particle" : "", "parse-names" : false, "suffix" : "" }, { "dropping-particle" : "", "family" : "Russell", "given" : "Paul", "non-dropping-particle" : "", "parse-names" : false, "suffix" : "" }, { "dropping-particle" : "", "family" : "Tainer", "given" : "John A.", "non-dropping-particle" : "", "parse-names" : false, "suffix" : "" }, { "dropping-particle" : "", "family" : "Paull", "given" : "Tanya T.", "non-dropping-particle" : "", "parse-names" : false, "suffix" : "" } ], "container-title" : "EMBO Journal", "id" : "ITEM-1", "issue" : "5", "issued" : { "date-parts" : [ [ "2014" ] ] }, "page" : "482-500", "title" : "ATP-driven Rad50 conformations regulate DNA tethering, end resection, and ATM checkpoint signaling", "type" : "article-journal", "volume" : "33" }, "uris" : [ "http://www.mendeley.com/documents/?uuid=52ca34c0-bd2a-4e48-ae0d-77c445a07077" ] } ], "mendeley" : { "formattedCitation" : "[13]", "plainTextFormattedCitation" : "[13]", "previouslyFormattedCitation" : "[13]"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bookmarkStart w:id="1" w:name="_Hlk514015781"/>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T191D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"10.15252/embj.201488889", "ISSN" : "14602075", "abstract" : "The Mre11\u2013Rad50 nuclease\u2013ATPase is an evolutionarily conserved multifunctional DNA double-strand break (DSB) repair factor. Mre11\u2013Rad50\u2019s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 "author" : [ { "dropping-particle" : "", "family" : "Rojowska", "given" : "Anna", "non-dropping-particle" : "", "parse-names" : false, "suffix" : "" }, { "dropping-particle" : "", "family" : "Lammens", "given" : "Katja", "non-dropping-particle" : "", "parse-names" : false, "suffix" : "" }, { "dropping-particle" : "", "family" : "Seifert", "given" : "Florian U", "non-dropping-particle" : "", "parse-names" : false, "suffix" : "" }, { "dropping-particle" : "", "family" : "Direnberger", "given" : "Carolin", "non-dropping-particle" : "", "parse-names" : false, "suffix" : "" }, { "dropping-particle" : "", "family" : "Feldmann", "given" : "Heidi", "non-dropping-particle" : "", "parse-names" : false, "suffix" : "" } ], "container-title" : "The EMBO journal", "id" : "ITEM-1", "issue" : "23", "issued" : { "date-parts" : [ [ "2014" ] ] }, "page" : "2847\u20132859", "title" : "Structure of the Rad 50 DNA double-strand break repair protein in complex with DNA", "type" : "article-journal", "volume" : "33" }, "uris" : [ "http://www.mendeley.com/documents/?uuid=f9e37b5b-e6e2-4a78-961d-dc1155001ff8" ] } ], "mendeley" : { "formattedCitation" : "[6]", "plainTextFormattedCitation" : "[6]", "previouslyFormattedCitation" : "[6]"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coiled coil</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acetylation at K187</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ubiquitylation at K187</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0.29</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0.28</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0.15</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0.02</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5.8e-03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PP1-docking motif RVXF</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Protein kinase C phosphorylation site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bookmarkEnd w:id="1"/>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Q194S</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M208C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"10.1074/jbc.M115.675132", "ISSN" : "1083351X", "PMID" : "26242734", "abstract" : "Rad50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 "author" : [ { "dropping-particle" : "", "family" : "Barfoot", "given" : "Tasida", "non-dropping-particle" : "", "parse-names" : false, "suffix" : "" }, { "dropping-particle" : "", "family" : "Herdendorf", "given" : "Timothy J.", "non-dropping-particle" : "", "parse-names" : false, "suffix" : "" }, { "dropping-particle" : "", "family" : "Behning", "given" : "Bryanna R.", "non-dropping-particle" : "", "parse-names" : false, "suffix" : "" }, { "dropping-particle" : "", "family" : "Stohr", "given" : "Bradley A.", "non-dropping-particle" : "", "parse-names" : false, "suffix" : "" }, { "dropping-particle" : "", "family" : "Gao", "given" : "Yang", "non-dropping-particle" : "", "parse-names" : false, "suffix" : "" }, { "dropping-particle" : "", "family" : "Kreuzer", "given" : "Kenneth N.", "non-dropping-particle" : "", "parse-names" : false, "suffix" : "" }, { "dropping-particle" : "", "family" : "Nelson", "given" : "Scott W.", "non-dropping-particle" : "", "parse-names" : false, "suffix" : "" } ], "container-title" : "Journal of Biological Chemistry", "id" : "ITEM-1", "issue" : "39", "issued" : { "date-parts" : [ [ "2015" ] ] }, "page" : "23905-23915", "title" : "Functional analysis of the bacteriophage T4 Rad50 Homolog (gp46) Coiled-coil Domain", "type" : "article-journal", "volume" : "290" }, "uris" : [ "http://www.mendeley.com/documents/?uuid=312b9e85-d7a5-46ff-a23f-a926db80392d" ] } ], "mendeley" : { "formattedCitation" : "[10]", "plainTextFormattedCitation" : "[10]", "previouslyFormattedCitation" : "[10]"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[10]</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K256P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"10.1074/jbc.M115.675132", "ISSN" : "1083351X", "PMID" : "26242734", "abstract" : "Rad50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 "author" : [ { "dropping-particle" : "", "family" : "Barfoot", "given" : "Tasida", "non-dropping-particle" : "", "parse-names" : false, "suffix" : "" }, { "dropping-particle" : "", "family" : "Herdendorf", "given" : "Timothy J.", "non-dropping-particle" : "", "parse-names" : false, "suffix" : "" }, { "dropping-particle" : "", "family" : "Behning", "given" : "Bryanna R.", "non-dropping-particle" : "", "parse-names" : false, "suffix" : "" }, { "dropping-particle" : "", "family" : "Stohr", "given" : "Bradley A.", "non-dropping-particle" : "", "parse-names" : false, "suffix" : "" }, { "dropping-particle" : "", "family" : "Gao", "given" : "Yang", "non-dropping-particle" : "", "parse-names" : false, "suffix" : "" }, { "dropping-particle" : "", "family" : "Kreuzer", "given" : "Kenneth N.", "non-dropping-particle" : "", "parse-names" : false, "suffix" : "" }, { "dropping-particle" : "", "family" : "Nelson", "given" : "Scott W.", "non-dropping-particle" : "", "parse-names" : false, "suffix" : "" } ], "container-title" : "Journal of Biological Chemistry", "id" : "ITEM-1", "issue" : "39", "issued" : { "date-parts" : [ [ "2015" ] ] }, "page" : "23905-23915", "title" : "Functional analysis of the bacteriophage T4 Rad50 Homolog (gp46) Coiled-coil Domain", "type" : "article-journal", "volume" : "290" }, "uris" : [ "http://www.mendeley.com/documents/?uuid=312b9e85-d7a5-46ff-a23f-a926db80392d" ] } ], "mendeley" : { "formattedCitation" : "[10]", "plainTextFormattedCitation" : "[10]", "previouslyFormattedCitation" : "[10]"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[10]</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M293A </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S603Y</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K921V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L673V </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L694Q </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intrinsic disorder</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0.40</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7.9e-03</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 xml:space="preserve">FHA </w:t>
            </w:r>
            <w:proofErr w:type="spellStart"/>
            <w:r w:rsidRPr="00C9702D">
              <w:rPr>
                <w:rFonts w:ascii="Times New Roman" w:hAnsi="Times New Roman" w:cs="Times New Roman"/>
                <w:sz w:val="16"/>
                <w:szCs w:val="16"/>
              </w:rPr>
              <w:t>phosphopeptide</w:t>
            </w:r>
            <w:proofErr w:type="spellEnd"/>
            <w:r w:rsidRPr="00C9702D">
              <w:rPr>
                <w:rFonts w:ascii="Times New Roman" w:hAnsi="Times New Roman" w:cs="Times New Roman"/>
                <w:sz w:val="16"/>
                <w:szCs w:val="16"/>
              </w:rPr>
              <w:t xml:space="preserve"> ligands</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Actin-binding motifs</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V697F </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Q886I </w:t>
            </w:r>
            <w:r w:rsidRPr="00C9702D">
              <w:rPr>
                <w:rFonts w:ascii="Times New Roman" w:hAnsi="Times New Roman" w:cs="Times New Roman"/>
                <w:sz w:val="12"/>
                <w:szCs w:val="12"/>
              </w:rPr>
              <w:t xml:space="preserv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"10.1016/j.molcel.2014.12.018", "ISSN" : "10974164", "PMID" : "25601756", "abstract" : "Rad50 contains a conserved Zn2+ coordination domain (the Rad50 hook) that functions as a homodimerization interface. Hook ablation phenocopies Rad50 deficiency in all respects. Here, we focused on rad50 mutations flanking the Zn2+-coordinating hook cysteines. These mutants impaired hook-mediated dimerization, but recombination between sister chromatids was largely unaffected. This may reflect that cohesin-mediated sister chromatid interactions are sufficient for double-strand break repair. However, Mre11 complex functions specified by the globular domain, including Tel1 (ATM) activation, nonhomologous end joining, and DNA double-strand break end resection were affected, suggesting that dimerization exerts a broad influence on Mre11 complex function. These phenotypes were suppressed by mutations within the coiled-coil and globular ATPase domains, suggesting a model in which conformational changes in the hook and globular domains are transmitted via the extended coils of Rad50. We propose that transmission of spatial information in this manner underlies the regulation of Mre11 complex functions.", "author" : [ { "dropping-particle" : "", "family" : "Hohl", "given" : "Marcel", "non-dropping-particle" : "", "parse-names" : false, "suffix" : "" }, { "dropping-particle" : "", "family" : "Kocha??czyk", "given" : "Tomasz", "non-dropping-particle" : "", "parse-names" : false, "suffix" : "" }, { "dropping-particle" : "", "family" : "Tous", "given" : "Cristina", "non-dropping-particle" : "", "parse-names" : false, "suffix" : "" }, { "dropping-particle" : "", "family" : "Aguilera", "given" : "Andr??s", "non-dropping-particle" : "", "parse-names" : false, "suffix" : "" }, { "dropping-particle" : "", "family" : "KrEzel", "given" : "Artur", "non-dropping-particle" : "", "parse-names" : false, "suffix" : "" }, { "dropping-particle" : "", "family" : "Petrini", "given" : "John H J", "non-dropping-particle" : "", "parse-names" : false, "suffix" : "" } ], "container-title" : "Molecular Cell", "id" : "ITEM-1", "issue" : "3", "issued" : { "date-parts" : [ [ "2015" ] ] }, "page" : "479-492", "title" : "Interdependence of the Rad50 Hook and Globular domain functions", "type" : "article-journal", "volume" : "57" }, "uris" : [ "http://www.mendeley.com/documents/?uuid=1d8e16ac-5a3e-45c0-9e5c-dc96e1172449" ] } ], "mendeley" : { "formattedCitation" : "[11]", "plainTextFormattedCitation" : "[11]", "previouslyFormattedCitation" : "[11]"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[11]</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No </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No </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S936P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"10.1016/0092-8674(90)90524-I", "ISBN" : "0092-8674 (Print)", "ISSN" : "00928674", "PMID" : "2185891", "abstract" : "The RAD50 gene of S. cerevisiae is required during meiosis for both recombination and chromosome synapsis and is also required for repair of double strand breaks during vegetative growth. We present below the isolation and analysis of several types of rad50 mutants. We show that null mutations block both meiotic recombination and formation of synaptonemal complex (SC) at early stages, while nonnull mutations block both processes at intermediate stages. These observations suggest that recombination and SC formation involve a series of intimately related events. Furthermore, all rad50 mutants block formation of tripartite SC structure but permit other aspects of SC development, i.e., formation of axial cores. In light of this and other observations, the meiotic and mitotic defects of rad50 mutants can be accounted for economically by the proposal that meiotic recombination, meiotic chromosome pairing, and vegetative DNA repair all use a common chromosomal homology search that involves RAD50 function. ?? 1990.", "author" : [ { "dropping-particle" : "", "family" : "Alani", "given" : "Eric", "non-dropping-particle" : "", "parse-names" : false, "suffix" : "" }, { "dropping-particle" : "", "family" : "Padmore", "given" : "Ruth", "non-dropping-particle" : "", "parse-names" : false, "suffix" : "" }, { "dropping-particle" : "", "family" : "Kleckner", "given" : "Nancy", "non-dropping-particle" : "", "parse-names" : false, "suffix" : "" } ], "container-title" : "Cell", "id" : "ITEM-1", "issue" : "3", "issued" : { "date-parts" : [ [ "1990" ] ] }, "page" : "419-436", "title" : "Analysis of wild-type and rad50 mutants of yeast suggests an intimate relationship between meiotic chromosome synapsis and recombination", "type" : "article-journal", "volume" : "61" }, "uris" : [ "http://www.mendeley.com/documents/?uuid=93727f66-85ff-4c2f-b8a6-0e8e9b7ffdf6" ] } ], "mendeley" : { "formattedCitation" : "[3]", "plainTextFormattedCitation" : "[3]", "previouslyFormattedCitation" : "[3]"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[3]</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C990S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"10.1074/jbc.M115.675132", "ISSN" : "1083351X", "PMID" : "26242734", "abstract" : "Rad50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 "author" : [ { "dropping-particle" : "", "family" : "Barfoot", "given" : "Tasida", "non-dropping-particle" : "", "parse-names" : false, "suffix" : "" }, { "dropping-particle" : "", "family" : "Herdendorf", "given" : "Timothy J.", "non-dropping-particle" : "", "parse-names" : false, "suffix" : "" }, { "dropping-particle" : "", "family" : "Behning", "given" : "Bryanna R.", "non-dropping-particle" : "", "parse-names" : false, "suffix" : "" }, { "dropping-particle" : "", "family" : "Stohr", "given" : "Bradley A.", "non-dropping-particle" : "", "parse-names" : false, "suffix" : "" }, { "dropping-particle" : "", "family" : "Gao", "given" : "Yang", "non-dropping-particle" : "", "parse-names" : false, "suffix" : "" }, { "dropping-particle" : "", "family" : "Kreuzer", "given" : "Kenneth N.", "non-dropping-particle" : "", "parse-names" : false, "suffix" : "" }, { "dropping-particle" : "", "family" : "Nelson", "given" : "Scott W.", "non-dropping-particle" : "", "parse-names" : false, "suffix" : "" } ], "container-title" : "Journal of Biological Chemistry", "id" : "ITEM-1", "issue" : "39", "issued" : { "date-parts" : [ [ "2015" ] ] }, "page" : "23905-23915", "title" : "Functional analysis of the bacteriophage T4 Rad50 Homolog (gp46) Coiled-coil Domain", "type" : "article-journal", "volume" : "290" }, "uris" : [ "http://www.mendeley.com/documents/?uuid=312b9e85-d7a5-46ff-a23f-a926db80392d" ] } ], "mendeley" : { "formattedCitation" : "[10]", "plainTextFormattedCitation" : "[10]", "previouslyFormattedCitation" : "[10]"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[10]</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N1028P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"10.1074/jbc.M115.675132", "ISSN" : "1083351X", "PMID" : "26242734", "abstract" : "Rad50 and Mre11 form a complex involved in the detection and processing of DNA double strand breaks. Rad50 contains an anti-parallel coiled-coil with two absolutely conserved cysteine residues at its apex. These cysteine residues serve as a dimerization domain and bind a Zn(2+) cation in a tetrathiolate coordination complex known as the zinc-hook. Mutation of the zinc-hook in bacteriophage T4 is lethal, indicating the ability to bind Zn(2+) is critical for the functioning of the MR complex. In vitro, we found that complex formation between Rad50 and a peptide corresponding to the C-terminal domain of Mre11 enhances the ATPase activity of Rad50, supporting the hypothesis that the coiled-coil is a major conduit for communication between Mre11 and Rad50. We constructed mutations to perturb this domain in the bacteriophage T4 Rad50 homolog. Deletion of the Rad50 coiled-coil and zinc-hook eliminates Mre11 binding and ATPase activation but does not affect its basal activity. Mutation of the zinc-hook or disruption of the coiled-coil does not affect Mre11 or DNA binding, but their activation of Rad50 ATPase activity is abolished. Although these mutants excise a single nucleotide at a normal rate, they lack processivity and have reduced repetitive exonuclease rates. Restricting the mobility of the coiled-coil eliminates ATPase activation and repetitive exonuclease activity, but the ability to support single nucleotide excision is retained. These results suggest that the coiled-coiled domain adopts at least two conformations throughout the ATPase/nuclease cycle, with one conformation supporting enhanced ATPase activity and processivity and the other supporting nucleotide excision.", "author" : [ { "dropping-particle" : "", "family" : "Barfoot", "given" : "Tasida", "non-dropping-particle" : "", "parse-names" : false, "suffix" : "" }, { "dropping-particle" : "", "family" : "Herdendorf", "given" : "Timothy J.", "non-dropping-particle" : "", "parse-names" : false, "suffix" : "" }, { "dropping-particle" : "", "family" : "Behning", "given" : "Bryanna R.", "non-dropping-particle" : "", "parse-names" : false, "suffix" : "" }, { "dropping-particle" : "", "family" : "Stohr", "given" : "Bradley A.", "non-dropping-particle" : "", "parse-names" : false, "suffix" : "" }, { "dropping-particle" : "", "family" : "Gao", "given" : "Yang", "non-dropping-particle" : "", "parse-names" : false, "suffix" : "" }, { "dropping-particle" : "", "family" : "Kreuzer", "given" : "Kenneth N.", "non-dropping-particle" : "", "parse-names" : false, "suffix" : "" }, { "dropping-particle" : "", "family" : "Nelson", "given" : "Scott W.", "non-dropping-particle" : "", "parse-names" : false, "suffix" : "" } ], "container-title" : "Journal of Biological Chemistry", "id" : "ITEM-1", "issue" : "39", "issued" : { "date-parts" : [ [ "2015" ] ] }, "page" : "23905-23915", "title" : "Functional analysis of the bacteriophage T4 Rad50 Homolog (gp46) Coiled-coil Domain", "type" : "article-journal", "volume" : "290" }, "uris" : [ "http://www.mendeley.com/documents/?uuid=312b9e85-d7a5-46ff-a23f-a926db80392d" ] } ], "mendeley" : { "formattedCitation" : "[10]", "plainTextFormattedCitation" : "[10]", "previouslyFormattedCitation" : "[10]"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[10]</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E110K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"10.15252/embj.201488889", "ISSN" : "14602075", "abstract" : "The Mre11\u2013Rad50 nuclease\u2013ATPase is an evolutionarily conserved multifunctional DNA double-strand break (DSB) repair factor. Mre11\u2013Rad50\u2019s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 "author" : [ { "dropping-particle" : "", "family" : "Rojowska", "given" : "Anna", "non-dropping-particle" : "", "parse-names" : false, "suffix" : "" }, { "dropping-particle" : "", "family" : "Lammens", "given" : "Katja", "non-dropping-particle" : "", "parse-names" : false, "suffix" : "" }, { "dropping-particle" : "", "family" : "Seifert", "given" : "Florian U", "non-dropping-particle" : "", "parse-names" : false, "suffix" : "" }, { "dropping-particle" : "", "family" : "Direnberger", "given" : "Carolin", "non-dropping-particle" : "", "parse-names" : false, "suffix" : "" }, { "dropping-particle" : "", "family" : "Feldmann", "given" : "Heidi", "non-dropping-particle" : "", "parse-names" : false, "suffix" : "" } ], "container-title" : "The EMBO journal", "id" : "ITEM-1", "issue" : "23", "issued" : { "date-parts" : [ [ "2014" ] ] }, "page" : "2847\u20132859", "title" : "Structure of the Rad 50 DNA double-strand break repair protein in complex with DNA", "type" : "article-journal", "volume" : "33" }, "uris" : [ "http://www.mendeley.com/documents/?uuid=f9e37b5b-e6e2-4a78-961d-dc1155001ff8" ] } ], "mendeley" : { "formattedCitation" : "[6]", "plainTextFormattedCitation" : "[6]", "previouslyFormattedCitation" : "[6]"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K126E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"10.15252/embj.201488889", "ISSN" : "14602075", "abstract" : "The Mre11\u2013Rad50 nuclease\u2013ATPase is an evolutionarily conserved multifunctional DNA double-strand break (DSB) repair factor. Mre11\u2013Rad50\u2019s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 "author" : [ { "dropping-particle" : "", "family" : "Rojowska", "given" : "Anna", "non-dropping-particle" : "", "parse-names" : false, "suffix" : "" }, { "dropping-particle" : "", "family" : "Lammens", "given" : "Katja", "non-dropping-particle" : "", "parse-names" : false, "suffix" : "" }, { "dropping-particle" : "", "family" : "Seifert", "given" : "Florian U", "non-dropping-particle" : "", "parse-names" : false, "suffix" : "" }, { "dropping-particle" : "", "family" : "Direnberger", "given" : "Carolin", "non-dropping-particle" : "", "parse-names" : false, "suffix" : "" }, { "dropping-particle" : "", "family" : "Feldmann", "given" : "Heidi", "non-dropping-particle" : "", "parse-names" : false, "suffix" : "" } ], "container-title" : "The EMBO journal", "id" : "ITEM-1", "issue" : "23", "issued" : { "date-parts" : [ [ "2014" ] ] }, "page" : "2847\u20132859", "title" : "Structure of the Rad 50 DNA double-strand break repair protein in complex with DNA", "type" : "article-journal", "volume" : "33" }, "uris" : [ "http://www.mendeley.com/documents/?uuid=f9e37b5b-e6e2-4a78-961d-dc1155001ff8" ] } ], "mendeley" : { "formattedCitation" : "[6]", "plainTextFormattedCitation" : "[6]", "previouslyFormattedCitation" : "[6]"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V127E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"10.15252/embj.201488889", "ISSN" : "14602075", "abstract" : "The Mre11\u2013Rad50 nuclease\u2013ATPase is an evolutionarily conserved multifunctional DNA double-strand break (DSB) repair factor. Mre11\u2013Rad50\u2019s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 "author" : [ { "dropping-particle" : "", "family" : "Rojowska", "given" : "Anna", "non-dropping-particle" : "", "parse-names" : false, "suffix" : "" }, { "dropping-particle" : "", "family" : "Lammens", "given" : "Katja", "non-dropping-particle" : "", "parse-names" : false, "suffix" : "" }, { "dropping-particle" : "", "family" : "Seifert", "given" : "Florian U", "non-dropping-particle" : "", "parse-names" : false, "suffix" : "" }, { "dropping-particle" : "", "family" : "Direnberger", "given" : "Carolin", "non-dropping-particle" : "", "parse-names" : false, "suffix" : "" }, { "dropping-particle" : "", "family" : "Feldmann", "given" : "Heidi", "non-dropping-particle" : "", "parse-names" : false, "suffix" : "" } ], "container-title" : "The EMBO journal", "id" : "ITEM-1", "issue" : "23", "issued" : { "date-parts" : [ [ "2014" ] ] }, "page" : "2847\u20132859", "title" : "Structure of the Rad 50 DNA double-strand break repair protein in complex with DNA", "type" : "article-journal", "volume" : "33" }, "uris" : [ "http://www.mendeley.com/documents/?uuid=f9e37b5b-e6e2-4a78-961d-dc1155001ff8" ] } ], "mendeley" : { "formattedCitation" : "[6]", "plainTextFormattedCitation" : "[6]", "previouslyFormattedCitation" : "[6]"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intrinsic disorder</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Loss of strand</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Gain of B-factor</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transmembrane protein</w:t>
            </w:r>
            <w:r w:rsidRPr="00C9702D">
              <w:rPr>
                <w:rFonts w:ascii="Times New Roman" w:hAnsi="Times New Roman" w:cs="Times New Roman"/>
                <w:sz w:val="16"/>
                <w:szCs w:val="16"/>
              </w:rPr>
              <w:tab/>
            </w:r>
            <w:r w:rsidRPr="00C9702D">
              <w:rPr>
                <w:rFonts w:ascii="Times New Roman" w:hAnsi="Times New Roman" w:cs="Times New Roman"/>
                <w:sz w:val="16"/>
                <w:szCs w:val="16"/>
              </w:rPr>
              <w:tab/>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stability</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0.43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0.30</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0.28</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0.26</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0.10</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5.3e-03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2.4e-03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5.9e-03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1.3e-03</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0.04</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-MAPK docking motifs</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K122E </w:t>
            </w:r>
            <w:r w:rsidRPr="00C9702D">
              <w:rPr>
                <w:rFonts w:ascii="Times New Roman" w:hAnsi="Times New Roman" w:cs="Times New Roman"/>
                <w:sz w:val="12"/>
                <w:szCs w:val="12"/>
              </w:rPr>
              <w:fldChar w:fldCharType="begin" w:fldLock="1"/>
            </w:r>
            <w:r w:rsidRPr="00C9702D">
              <w:rPr>
                <w:rFonts w:ascii="Times New Roman" w:hAnsi="Times New Roman" w:cs="Times New Roman"/>
                <w:sz w:val="12"/>
                <w:szCs w:val="12"/>
              </w:rPr>
              <w:instrText>ADDIN CSL_CITATION { "citationItems" : [ { "id" : "ITEM-1", "itemData" : { "DOI" : "10.15252/embj.201488889", "ISSN" : "14602075", "abstract" : "The Mre11\u2013Rad50 nuclease\u2013ATPase is an evolutionarily conserved multifunctional DNA double-strand break (DSB) repair factor. Mre11\u2013Rad50\u2019s mechanism in the processing, tethering, and signaling of DSBs is unclear, in part because we lack a structural framework for its interaction with DNA in different functional states. We determined the crystal structure of Thermotoga maritima Rad50NBD (nucleotide-binding domain) in complex with Mre11HLH (helix-loop-helix domain), AMPPNP, and double-stranded DNA. DNA binds between both coiled-coil domains of the Rad50 dimer with main interactions to a strand-loop-helix motif on the NBD. Our analysis suggests that this motif on Rad50 does not directly recognize DNA ends and binds internal sites on DNA. Func- tional studies reveal that DNA binding to Rad50 is not critical for DNA double-strand break repair but is important for telomere maintenance. In summary, we provide a structural framework for DNA binding to Rad50 in the ATP-bound state. Keywords", "author" : [ { "dropping-particle" : "", "family" : "Rojowska", "given" : "Anna", "non-dropping-particle" : "", "parse-names" : false, "suffix" : "" }, { "dropping-particle" : "", "family" : "Lammens", "given" : "Katja", "non-dropping-particle" : "", "parse-names" : false, "suffix" : "" }, { "dropping-particle" : "", "family" : "Seifert", "given" : "Florian U", "non-dropping-particle" : "", "parse-names" : false, "suffix" : "" }, { "dropping-particle" : "", "family" : "Direnberger", "given" : "Carolin", "non-dropping-particle" : "", "parse-names" : false, "suffix" : "" }, { "dropping-particle" : "", "family" : "Feldmann", "given" : "Heidi", "non-dropping-particle" : "", "parse-names" : false, "suffix" : "" } ], "container-title" : "The EMBO journal", "id" : "ITEM-1", "issue" : "23", "issued" : { "date-parts" : [ [ "2014" ] ] }, "page" : "2847\u20132859", "title" : "Structure of the Rad 50 DNA double-strand break repair protein in complex with DNA", "type" : "article-journal", "volume" : "33" }, "uris" : [ "http://www.mendeley.com/documents/?uuid=f9e37b5b-e6e2-4a78-961d-dc1155001ff8" ] } ], "mendeley" : { "formattedCitation" : "[6]", "plainTextFormattedCitation" : "[6]", "previouslyFormattedCitation" : "[6]" }, "properties" : {  }, "schema" : "https://github.com/citation-style-language/schema/raw/master/csl-citation.json" }</w:instrText>
            </w:r>
            <w:r w:rsidRPr="00C9702D">
              <w:rPr>
                <w:rFonts w:ascii="Times New Roman" w:hAnsi="Times New Roman" w:cs="Times New Roman"/>
                <w:sz w:val="12"/>
                <w:szCs w:val="12"/>
              </w:rPr>
              <w:fldChar w:fldCharType="separate"/>
            </w:r>
            <w:r w:rsidRPr="00C9702D">
              <w:rPr>
                <w:rFonts w:ascii="Times New Roman" w:hAnsi="Times New Roman" w:cs="Times New Roman"/>
                <w:noProof/>
                <w:sz w:val="12"/>
                <w:szCs w:val="12"/>
              </w:rPr>
              <w:t>[6]</w:t>
            </w:r>
            <w:r w:rsidRPr="00C9702D">
              <w:rPr>
                <w:rFonts w:ascii="Times New Roman" w:hAnsi="Times New Roman" w:cs="Times New Roman"/>
                <w:sz w:val="12"/>
                <w:szCs w:val="12"/>
              </w:rPr>
              <w:fldChar w:fldCharType="end"/>
            </w:r>
          </w:p>
        </w:tc>
        <w:tc>
          <w:tcPr>
            <w:tcW w:w="445" w:type="dxa"/>
            <w:gridSpan w:val="2"/>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r>
      <w:tr w:rsidR="00C9702D" w:rsidRPr="00C9702D" w:rsidTr="00C9702D">
        <w:tc>
          <w:tcPr>
            <w:tcW w:w="915" w:type="dxa"/>
            <w:vMerge w:val="restart"/>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lastRenderedPageBreak/>
              <w:t>SNPs</w:t>
            </w: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I94L </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V127I </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 xml:space="preserve">T191I </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R193W</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Altered coiled coil</w:t>
            </w:r>
            <w:r w:rsidRPr="00C9702D">
              <w:rPr>
                <w:rFonts w:ascii="Times New Roman" w:hAnsi="Times New Roman" w:cs="Times New Roman"/>
                <w:sz w:val="16"/>
                <w:szCs w:val="16"/>
              </w:rPr>
              <w:tab/>
            </w:r>
            <w:r w:rsidRPr="00C9702D">
              <w:rPr>
                <w:rFonts w:ascii="Times New Roman" w:hAnsi="Times New Roman" w:cs="Times New Roman"/>
                <w:sz w:val="16"/>
                <w:szCs w:val="16"/>
              </w:rPr>
              <w:tab/>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0.93</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6.7e-04</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NEK2 phosphorylation site</w:t>
            </w:r>
          </w:p>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r w:rsidRPr="00C9702D">
              <w:rPr>
                <w:sz w:val="16"/>
                <w:szCs w:val="16"/>
              </w:rPr>
              <w:t xml:space="preserve"> </w:t>
            </w:r>
            <w:r w:rsidRPr="00C9702D">
              <w:rPr>
                <w:rFonts w:ascii="Times New Roman" w:hAnsi="Times New Roman" w:cs="Times New Roman"/>
                <w:sz w:val="16"/>
                <w:szCs w:val="16"/>
              </w:rPr>
              <w:t>Protein kinase C phosphorylation site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R224H</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V315L</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G469A</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K616E</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V697A</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V842A</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Y964H</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C9702D">
        <w:tc>
          <w:tcPr>
            <w:tcW w:w="915" w:type="dxa"/>
            <w:vMerge/>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K973M</w:t>
            </w:r>
          </w:p>
        </w:tc>
        <w:tc>
          <w:tcPr>
            <w:tcW w:w="445" w:type="dxa"/>
            <w:gridSpan w:val="2"/>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426"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3118"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C9702D" w:rsidRPr="00C9702D" w:rsidTr="00E2261A">
        <w:tc>
          <w:tcPr>
            <w:tcW w:w="915" w:type="dxa"/>
            <w:vMerge/>
            <w:tcBorders>
              <w:bottom w:val="single" w:sz="4" w:space="0" w:color="auto"/>
            </w:tcBorders>
          </w:tcPr>
          <w:p w:rsidR="004F4C16" w:rsidRPr="00C9702D" w:rsidRDefault="004F4C16" w:rsidP="00C9702D">
            <w:pPr>
              <w:shd w:val="clear" w:color="auto" w:fill="FFFFFF" w:themeFill="background1"/>
              <w:rPr>
                <w:rFonts w:ascii="Times New Roman" w:hAnsi="Times New Roman" w:cs="Times New Roman"/>
                <w:sz w:val="16"/>
                <w:szCs w:val="16"/>
              </w:rPr>
            </w:pPr>
          </w:p>
        </w:tc>
        <w:tc>
          <w:tcPr>
            <w:tcW w:w="903" w:type="dxa"/>
            <w:tcBorders>
              <w:bottom w:val="single" w:sz="4" w:space="0" w:color="auto"/>
            </w:tcBorders>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R1038G</w:t>
            </w:r>
          </w:p>
        </w:tc>
        <w:tc>
          <w:tcPr>
            <w:tcW w:w="445" w:type="dxa"/>
            <w:gridSpan w:val="2"/>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567"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567"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6"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w:t>
            </w:r>
          </w:p>
        </w:tc>
        <w:tc>
          <w:tcPr>
            <w:tcW w:w="425" w:type="dxa"/>
            <w:tcBorders>
              <w:bottom w:val="single" w:sz="4" w:space="0" w:color="auto"/>
            </w:tcBorders>
            <w:shd w:val="clear" w:color="auto" w:fill="auto"/>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D</w:t>
            </w:r>
          </w:p>
        </w:tc>
        <w:tc>
          <w:tcPr>
            <w:tcW w:w="3118" w:type="dxa"/>
            <w:tcBorders>
              <w:bottom w:val="single" w:sz="4" w:space="0" w:color="auto"/>
            </w:tcBorders>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 effect</w:t>
            </w:r>
          </w:p>
        </w:tc>
        <w:tc>
          <w:tcPr>
            <w:tcW w:w="567" w:type="dxa"/>
            <w:tcBorders>
              <w:bottom w:val="single" w:sz="4" w:space="0" w:color="auto"/>
            </w:tcBorders>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851" w:type="dxa"/>
            <w:tcBorders>
              <w:bottom w:val="single" w:sz="4" w:space="0" w:color="auto"/>
            </w:tcBorders>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w:t>
            </w:r>
          </w:p>
        </w:tc>
        <w:tc>
          <w:tcPr>
            <w:tcW w:w="2126" w:type="dxa"/>
            <w:tcBorders>
              <w:bottom w:val="single" w:sz="4" w:space="0" w:color="auto"/>
            </w:tcBorders>
            <w:shd w:val="clear" w:color="auto" w:fill="auto"/>
          </w:tcPr>
          <w:p w:rsidR="004F4C16" w:rsidRPr="00C9702D" w:rsidRDefault="004F4C16" w:rsidP="00C9702D">
            <w:pPr>
              <w:shd w:val="clear" w:color="auto" w:fill="FFFFFF" w:themeFill="background1"/>
              <w:rPr>
                <w:rFonts w:ascii="Times New Roman" w:hAnsi="Times New Roman" w:cs="Times New Roman"/>
                <w:sz w:val="16"/>
                <w:szCs w:val="16"/>
              </w:rPr>
            </w:pPr>
            <w:r w:rsidRPr="00C9702D">
              <w:rPr>
                <w:rFonts w:ascii="Times New Roman" w:hAnsi="Times New Roman" w:cs="Times New Roman"/>
                <w:sz w:val="16"/>
                <w:szCs w:val="16"/>
              </w:rPr>
              <w:t>None</w:t>
            </w:r>
          </w:p>
        </w:tc>
        <w:tc>
          <w:tcPr>
            <w:tcW w:w="567" w:type="dxa"/>
            <w:tcBorders>
              <w:bottom w:val="single" w:sz="4" w:space="0" w:color="auto"/>
            </w:tcBorders>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tcBorders>
              <w:bottom w:val="single" w:sz="4" w:space="0" w:color="auto"/>
            </w:tcBorders>
            <w:shd w:val="clear" w:color="auto" w:fill="FFFFFF" w:themeFill="background1"/>
          </w:tcPr>
          <w:p w:rsidR="004F4C16" w:rsidRPr="00C9702D" w:rsidRDefault="004F4C16" w:rsidP="00C9702D">
            <w:pPr>
              <w:shd w:val="clear" w:color="auto" w:fill="FFFFFF" w:themeFill="background1"/>
              <w:jc w:val="center"/>
              <w:rPr>
                <w:rFonts w:ascii="Times New Roman" w:hAnsi="Times New Roman" w:cs="Times New Roman"/>
                <w:sz w:val="16"/>
                <w:szCs w:val="16"/>
              </w:rPr>
            </w:pPr>
            <w:r w:rsidRPr="00C9702D">
              <w:rPr>
                <w:rFonts w:ascii="Times New Roman" w:hAnsi="Times New Roman" w:cs="Times New Roman"/>
                <w:sz w:val="16"/>
                <w:szCs w:val="16"/>
              </w:rPr>
              <w:t>No</w:t>
            </w:r>
          </w:p>
        </w:tc>
        <w:tc>
          <w:tcPr>
            <w:tcW w:w="567" w:type="dxa"/>
            <w:tcBorders>
              <w:bottom w:val="single" w:sz="4" w:space="0" w:color="auto"/>
            </w:tcBorders>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c>
          <w:tcPr>
            <w:tcW w:w="567" w:type="dxa"/>
            <w:tcBorders>
              <w:bottom w:val="single" w:sz="4" w:space="0" w:color="auto"/>
            </w:tcBorders>
            <w:shd w:val="clear" w:color="auto" w:fill="FFFFFF" w:themeFill="background1"/>
          </w:tcPr>
          <w:p w:rsidR="004F4C16" w:rsidRPr="00C9702D" w:rsidRDefault="004F4C16" w:rsidP="00C9702D">
            <w:pPr>
              <w:shd w:val="clear" w:color="auto" w:fill="FFFFFF" w:themeFill="background1"/>
              <w:jc w:val="center"/>
              <w:rPr>
                <w:sz w:val="16"/>
                <w:szCs w:val="16"/>
              </w:rPr>
            </w:pPr>
            <w:r w:rsidRPr="00C9702D">
              <w:rPr>
                <w:rFonts w:ascii="Times New Roman" w:hAnsi="Times New Roman" w:cs="Times New Roman"/>
                <w:sz w:val="16"/>
                <w:szCs w:val="16"/>
              </w:rPr>
              <w:t>↓</w:t>
            </w:r>
          </w:p>
        </w:tc>
      </w:tr>
      <w:tr w:rsidR="00E2261A" w:rsidRPr="00C9702D" w:rsidTr="00E2261A">
        <w:tc>
          <w:tcPr>
            <w:tcW w:w="14312" w:type="dxa"/>
            <w:gridSpan w:val="18"/>
            <w:tcBorders>
              <w:bottom w:val="nil"/>
            </w:tcBorders>
          </w:tcPr>
          <w:p w:rsidR="00E2261A" w:rsidRDefault="00E2261A" w:rsidP="00E2261A">
            <w:pPr>
              <w:shd w:val="clear" w:color="auto" w:fill="FFFFFF" w:themeFill="background1"/>
              <w:jc w:val="both"/>
              <w:rPr>
                <w:rFonts w:ascii="Times New Roman" w:hAnsi="Times New Roman" w:cs="Times New Roman"/>
                <w:sz w:val="16"/>
                <w:szCs w:val="16"/>
              </w:rPr>
            </w:pP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 xml:space="preserve">Abbreviation: </w:t>
            </w:r>
          </w:p>
          <w:p w:rsidR="00E2261A" w:rsidRPr="00C9702D" w:rsidRDefault="00E2261A" w:rsidP="00C9702D">
            <w:pPr>
              <w:shd w:val="clear" w:color="auto" w:fill="FFFFFF" w:themeFill="background1"/>
              <w:jc w:val="center"/>
              <w:rPr>
                <w:rFonts w:ascii="Times New Roman" w:hAnsi="Times New Roman" w:cs="Times New Roman"/>
                <w:sz w:val="16"/>
                <w:szCs w:val="16"/>
              </w:rPr>
            </w:pPr>
          </w:p>
        </w:tc>
      </w:tr>
      <w:tr w:rsidR="00E2261A" w:rsidRPr="00C9702D" w:rsidTr="00E2261A">
        <w:tc>
          <w:tcPr>
            <w:tcW w:w="1980" w:type="dxa"/>
            <w:gridSpan w:val="3"/>
            <w:tcBorders>
              <w:top w:val="nil"/>
              <w:right w:val="nil"/>
            </w:tcBorders>
          </w:tcPr>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 xml:space="preserve">IM- </w:t>
            </w:r>
            <w:proofErr w:type="spellStart"/>
            <w:r w:rsidRPr="00E2261A">
              <w:rPr>
                <w:rFonts w:ascii="Times New Roman" w:hAnsi="Times New Roman" w:cs="Times New Roman"/>
                <w:sz w:val="16"/>
                <w:szCs w:val="16"/>
              </w:rPr>
              <w:t>Imutant</w:t>
            </w:r>
            <w:proofErr w:type="spellEnd"/>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 xml:space="preserve">MP- </w:t>
            </w:r>
            <w:proofErr w:type="spellStart"/>
            <w:r w:rsidRPr="00E2261A">
              <w:rPr>
                <w:rFonts w:ascii="Times New Roman" w:hAnsi="Times New Roman" w:cs="Times New Roman"/>
                <w:sz w:val="16"/>
                <w:szCs w:val="16"/>
              </w:rPr>
              <w:t>MuPro</w:t>
            </w:r>
            <w:proofErr w:type="spellEnd"/>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PS-</w:t>
            </w:r>
            <w:proofErr w:type="spellStart"/>
            <w:r w:rsidRPr="00E2261A">
              <w:rPr>
                <w:rFonts w:ascii="Times New Roman" w:hAnsi="Times New Roman" w:cs="Times New Roman"/>
                <w:sz w:val="16"/>
                <w:szCs w:val="16"/>
              </w:rPr>
              <w:t>PredictSNP</w:t>
            </w:r>
            <w:proofErr w:type="spellEnd"/>
            <w:r w:rsidRPr="00E2261A">
              <w:rPr>
                <w:rFonts w:ascii="Times New Roman" w:hAnsi="Times New Roman" w:cs="Times New Roman"/>
                <w:sz w:val="16"/>
                <w:szCs w:val="16"/>
              </w:rPr>
              <w:tab/>
            </w: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MP-MAPP</w:t>
            </w:r>
            <w:r w:rsidRPr="00E2261A">
              <w:rPr>
                <w:rFonts w:ascii="Times New Roman" w:hAnsi="Times New Roman" w:cs="Times New Roman"/>
                <w:sz w:val="16"/>
                <w:szCs w:val="16"/>
              </w:rPr>
              <w:tab/>
            </w:r>
          </w:p>
          <w:p w:rsidR="00E2261A" w:rsidRPr="00E2261A" w:rsidRDefault="00E2261A" w:rsidP="00E2261A">
            <w:pPr>
              <w:shd w:val="clear" w:color="auto" w:fill="FFFFFF" w:themeFill="background1"/>
              <w:jc w:val="both"/>
              <w:rPr>
                <w:rFonts w:ascii="Times New Roman" w:hAnsi="Times New Roman" w:cs="Times New Roman"/>
                <w:sz w:val="16"/>
                <w:szCs w:val="16"/>
              </w:rPr>
            </w:pPr>
            <w:proofErr w:type="spellStart"/>
            <w:r w:rsidRPr="00E2261A">
              <w:rPr>
                <w:rFonts w:ascii="Times New Roman" w:hAnsi="Times New Roman" w:cs="Times New Roman"/>
                <w:sz w:val="16"/>
                <w:szCs w:val="16"/>
              </w:rPr>
              <w:t>PhS</w:t>
            </w:r>
            <w:proofErr w:type="spellEnd"/>
            <w:r w:rsidRPr="00E2261A">
              <w:rPr>
                <w:rFonts w:ascii="Times New Roman" w:hAnsi="Times New Roman" w:cs="Times New Roman"/>
                <w:sz w:val="16"/>
                <w:szCs w:val="16"/>
              </w:rPr>
              <w:t>-PhD-SNP</w:t>
            </w:r>
            <w:r w:rsidRPr="00E2261A">
              <w:rPr>
                <w:rFonts w:ascii="Times New Roman" w:hAnsi="Times New Roman" w:cs="Times New Roman"/>
                <w:sz w:val="16"/>
                <w:szCs w:val="16"/>
              </w:rPr>
              <w:tab/>
            </w:r>
          </w:p>
          <w:p w:rsid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PP1-Poly-Phen1</w:t>
            </w:r>
            <w:r w:rsidRPr="00E2261A">
              <w:rPr>
                <w:rFonts w:ascii="Times New Roman" w:hAnsi="Times New Roman" w:cs="Times New Roman"/>
                <w:sz w:val="16"/>
                <w:szCs w:val="16"/>
              </w:rPr>
              <w:tab/>
              <w:t xml:space="preserve"> </w:t>
            </w: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PP2-Poly-Phen2</w:t>
            </w:r>
          </w:p>
        </w:tc>
        <w:tc>
          <w:tcPr>
            <w:tcW w:w="12332" w:type="dxa"/>
            <w:gridSpan w:val="15"/>
            <w:tcBorders>
              <w:top w:val="nil"/>
              <w:left w:val="nil"/>
            </w:tcBorders>
          </w:tcPr>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SF- SIFT</w:t>
            </w:r>
            <w:r w:rsidRPr="00E2261A">
              <w:rPr>
                <w:rFonts w:ascii="Times New Roman" w:hAnsi="Times New Roman" w:cs="Times New Roman"/>
                <w:sz w:val="16"/>
                <w:szCs w:val="16"/>
              </w:rPr>
              <w:tab/>
            </w: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SN- SNAP</w:t>
            </w:r>
          </w:p>
          <w:p w:rsidR="00E2261A" w:rsidRPr="00E2261A" w:rsidRDefault="00E2261A" w:rsidP="00E2261A">
            <w:pPr>
              <w:shd w:val="clear" w:color="auto" w:fill="FFFFFF" w:themeFill="background1"/>
              <w:jc w:val="both"/>
              <w:rPr>
                <w:rFonts w:ascii="Times New Roman" w:hAnsi="Times New Roman" w:cs="Times New Roman"/>
                <w:sz w:val="16"/>
                <w:szCs w:val="16"/>
              </w:rPr>
            </w:pPr>
            <w:proofErr w:type="spellStart"/>
            <w:r w:rsidRPr="00E2261A">
              <w:rPr>
                <w:rFonts w:ascii="Times New Roman" w:hAnsi="Times New Roman" w:cs="Times New Roman"/>
                <w:sz w:val="16"/>
                <w:szCs w:val="16"/>
              </w:rPr>
              <w:t>Pr</w:t>
            </w:r>
            <w:proofErr w:type="spellEnd"/>
            <w:r w:rsidRPr="00E2261A">
              <w:rPr>
                <w:rFonts w:ascii="Times New Roman" w:hAnsi="Times New Roman" w:cs="Times New Roman"/>
                <w:sz w:val="16"/>
                <w:szCs w:val="16"/>
              </w:rPr>
              <w:t>-Probability</w:t>
            </w:r>
            <w:bookmarkStart w:id="2" w:name="_GoBack"/>
            <w:bookmarkEnd w:id="2"/>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AG- protein aggregation</w:t>
            </w: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AM- Amyloid aggregation</w:t>
            </w:r>
          </w:p>
          <w:p w:rsidR="00E2261A" w:rsidRPr="00E2261A"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 xml:space="preserve">IM- </w:t>
            </w:r>
            <w:proofErr w:type="spellStart"/>
            <w:r w:rsidRPr="00E2261A">
              <w:rPr>
                <w:rFonts w:ascii="Times New Roman" w:hAnsi="Times New Roman" w:cs="Times New Roman"/>
                <w:sz w:val="16"/>
                <w:szCs w:val="16"/>
              </w:rPr>
              <w:t>Imutant</w:t>
            </w:r>
            <w:proofErr w:type="spellEnd"/>
          </w:p>
          <w:p w:rsidR="00E2261A" w:rsidRPr="00C9702D" w:rsidRDefault="00E2261A" w:rsidP="00E2261A">
            <w:pPr>
              <w:shd w:val="clear" w:color="auto" w:fill="FFFFFF" w:themeFill="background1"/>
              <w:jc w:val="both"/>
              <w:rPr>
                <w:rFonts w:ascii="Times New Roman" w:hAnsi="Times New Roman" w:cs="Times New Roman"/>
                <w:sz w:val="16"/>
                <w:szCs w:val="16"/>
              </w:rPr>
            </w:pPr>
            <w:r w:rsidRPr="00E2261A">
              <w:rPr>
                <w:rFonts w:ascii="Times New Roman" w:hAnsi="Times New Roman" w:cs="Times New Roman"/>
                <w:sz w:val="16"/>
                <w:szCs w:val="16"/>
              </w:rPr>
              <w:t>MP-</w:t>
            </w:r>
            <w:proofErr w:type="spellStart"/>
            <w:r w:rsidRPr="00E2261A">
              <w:rPr>
                <w:rFonts w:ascii="Times New Roman" w:hAnsi="Times New Roman" w:cs="Times New Roman"/>
                <w:sz w:val="16"/>
                <w:szCs w:val="16"/>
              </w:rPr>
              <w:t>MuPro</w:t>
            </w:r>
            <w:proofErr w:type="spellEnd"/>
          </w:p>
        </w:tc>
      </w:tr>
    </w:tbl>
    <w:p w:rsidR="0083426D" w:rsidRPr="00C9702D" w:rsidRDefault="0083426D" w:rsidP="00C9702D">
      <w:pPr>
        <w:shd w:val="clear" w:color="auto" w:fill="FFFFFF" w:themeFill="background1"/>
        <w:rPr>
          <w:rFonts w:cstheme="minorHAnsi"/>
          <w:sz w:val="16"/>
          <w:szCs w:val="16"/>
        </w:rPr>
      </w:pPr>
    </w:p>
    <w:sectPr w:rsidR="0083426D" w:rsidRPr="00C9702D" w:rsidSect="008342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80B"/>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F0154FC"/>
    <w:multiLevelType w:val="hybridMultilevel"/>
    <w:tmpl w:val="02A83A6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138D2A97"/>
    <w:multiLevelType w:val="hybridMultilevel"/>
    <w:tmpl w:val="4C82649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EF00ED8"/>
    <w:multiLevelType w:val="hybridMultilevel"/>
    <w:tmpl w:val="070EF96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2409309F"/>
    <w:multiLevelType w:val="hybridMultilevel"/>
    <w:tmpl w:val="0524B204"/>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2DE5794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353A2C1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5DC7C7B"/>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760248C"/>
    <w:multiLevelType w:val="hybridMultilevel"/>
    <w:tmpl w:val="79FA106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3B737515"/>
    <w:multiLevelType w:val="hybridMultilevel"/>
    <w:tmpl w:val="1930C24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400F4109"/>
    <w:multiLevelType w:val="hybridMultilevel"/>
    <w:tmpl w:val="7418163E"/>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4A990DB7"/>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4DB56264"/>
    <w:multiLevelType w:val="hybridMultilevel"/>
    <w:tmpl w:val="B586647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577E3CAC"/>
    <w:multiLevelType w:val="hybridMultilevel"/>
    <w:tmpl w:val="E9BC79E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582A1EFD"/>
    <w:multiLevelType w:val="hybridMultilevel"/>
    <w:tmpl w:val="F83CC050"/>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60031EAA"/>
    <w:multiLevelType w:val="hybridMultilevel"/>
    <w:tmpl w:val="1C1CAF58"/>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676D1F75"/>
    <w:multiLevelType w:val="hybridMultilevel"/>
    <w:tmpl w:val="B1F4880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6A5E6194"/>
    <w:multiLevelType w:val="hybridMultilevel"/>
    <w:tmpl w:val="8118E3AC"/>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71465928"/>
    <w:multiLevelType w:val="hybridMultilevel"/>
    <w:tmpl w:val="94A62F5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74C32535"/>
    <w:multiLevelType w:val="hybridMultilevel"/>
    <w:tmpl w:val="DD686A0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C3E3074"/>
    <w:multiLevelType w:val="hybridMultilevel"/>
    <w:tmpl w:val="404E712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7D1614F3"/>
    <w:multiLevelType w:val="hybridMultilevel"/>
    <w:tmpl w:val="717E85D0"/>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7E6379DE"/>
    <w:multiLevelType w:val="hybridMultilevel"/>
    <w:tmpl w:val="99001D96"/>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9"/>
  </w:num>
  <w:num w:numId="2">
    <w:abstractNumId w:val="14"/>
  </w:num>
  <w:num w:numId="3">
    <w:abstractNumId w:val="22"/>
  </w:num>
  <w:num w:numId="4">
    <w:abstractNumId w:val="2"/>
  </w:num>
  <w:num w:numId="5">
    <w:abstractNumId w:val="4"/>
  </w:num>
  <w:num w:numId="6">
    <w:abstractNumId w:val="15"/>
  </w:num>
  <w:num w:numId="7">
    <w:abstractNumId w:val="9"/>
  </w:num>
  <w:num w:numId="8">
    <w:abstractNumId w:val="12"/>
  </w:num>
  <w:num w:numId="9">
    <w:abstractNumId w:val="7"/>
  </w:num>
  <w:num w:numId="10">
    <w:abstractNumId w:val="11"/>
  </w:num>
  <w:num w:numId="11">
    <w:abstractNumId w:val="8"/>
  </w:num>
  <w:num w:numId="12">
    <w:abstractNumId w:val="16"/>
  </w:num>
  <w:num w:numId="13">
    <w:abstractNumId w:val="21"/>
  </w:num>
  <w:num w:numId="14">
    <w:abstractNumId w:val="17"/>
  </w:num>
  <w:num w:numId="15">
    <w:abstractNumId w:val="3"/>
  </w:num>
  <w:num w:numId="16">
    <w:abstractNumId w:val="20"/>
  </w:num>
  <w:num w:numId="17">
    <w:abstractNumId w:val="1"/>
  </w:num>
  <w:num w:numId="18">
    <w:abstractNumId w:val="10"/>
  </w:num>
  <w:num w:numId="19">
    <w:abstractNumId w:val="6"/>
  </w:num>
  <w:num w:numId="20">
    <w:abstractNumId w:val="18"/>
  </w:num>
  <w:num w:numId="21">
    <w:abstractNumId w:val="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6D"/>
    <w:rsid w:val="00140CFA"/>
    <w:rsid w:val="00143BDD"/>
    <w:rsid w:val="001C3922"/>
    <w:rsid w:val="002172AE"/>
    <w:rsid w:val="00242EFD"/>
    <w:rsid w:val="002616FA"/>
    <w:rsid w:val="002926B4"/>
    <w:rsid w:val="00381B0B"/>
    <w:rsid w:val="0039028E"/>
    <w:rsid w:val="003C6176"/>
    <w:rsid w:val="00434233"/>
    <w:rsid w:val="004B13F7"/>
    <w:rsid w:val="004B6C90"/>
    <w:rsid w:val="004F4C16"/>
    <w:rsid w:val="00507B3E"/>
    <w:rsid w:val="00511451"/>
    <w:rsid w:val="005E4A07"/>
    <w:rsid w:val="006A30D7"/>
    <w:rsid w:val="006B679E"/>
    <w:rsid w:val="006F5AA8"/>
    <w:rsid w:val="007A27AF"/>
    <w:rsid w:val="007A3E71"/>
    <w:rsid w:val="0083426D"/>
    <w:rsid w:val="0096027A"/>
    <w:rsid w:val="009768A6"/>
    <w:rsid w:val="00AB1E35"/>
    <w:rsid w:val="00AC582A"/>
    <w:rsid w:val="00B26504"/>
    <w:rsid w:val="00BC555F"/>
    <w:rsid w:val="00BC58C3"/>
    <w:rsid w:val="00C14AEC"/>
    <w:rsid w:val="00C3442E"/>
    <w:rsid w:val="00C52EE5"/>
    <w:rsid w:val="00C9702D"/>
    <w:rsid w:val="00CF1FF7"/>
    <w:rsid w:val="00CF66CD"/>
    <w:rsid w:val="00DF3BB2"/>
    <w:rsid w:val="00E2261A"/>
    <w:rsid w:val="00E37036"/>
    <w:rsid w:val="00E54C53"/>
    <w:rsid w:val="00E84D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C734"/>
  <w15:chartTrackingRefBased/>
  <w15:docId w15:val="{2A7E354F-A520-4202-A39A-B13AE35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26D"/>
    <w:pPr>
      <w:ind w:left="720"/>
      <w:contextualSpacing/>
    </w:pPr>
  </w:style>
  <w:style w:type="numbering" w:customStyle="1" w:styleId="NoList1">
    <w:name w:val="No List1"/>
    <w:next w:val="NoList"/>
    <w:uiPriority w:val="99"/>
    <w:semiHidden/>
    <w:unhideWhenUsed/>
    <w:rsid w:val="0083426D"/>
  </w:style>
  <w:style w:type="table" w:customStyle="1" w:styleId="TableGrid1">
    <w:name w:val="Table Grid1"/>
    <w:basedOn w:val="TableNormal"/>
    <w:next w:val="TableGrid"/>
    <w:uiPriority w:val="39"/>
    <w:rsid w:val="0083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16317</Words>
  <Characters>93010</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Juwairiah Remali</dc:creator>
  <cp:keywords/>
  <dc:description/>
  <cp:lastModifiedBy>shazrul fazry</cp:lastModifiedBy>
  <cp:revision>16</cp:revision>
  <dcterms:created xsi:type="dcterms:W3CDTF">2019-07-22T05:33:00Z</dcterms:created>
  <dcterms:modified xsi:type="dcterms:W3CDTF">2019-09-06T13:00:00Z</dcterms:modified>
</cp:coreProperties>
</file>