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1E" w:rsidRDefault="0082421E" w:rsidP="0082421E">
      <w:pPr>
        <w:pStyle w:val="MDPI41tablecaption"/>
      </w:pPr>
      <w:r w:rsidRPr="00190DA3">
        <w:rPr>
          <w:b/>
        </w:rPr>
        <w:t>Table 1.</w:t>
      </w:r>
      <w:r w:rsidRPr="00190DA3">
        <w:t xml:space="preserve"> List of primers used in this study</w:t>
      </w:r>
      <w:r>
        <w:t>.</w:t>
      </w:r>
    </w:p>
    <w:tbl>
      <w:tblPr>
        <w:tblStyle w:val="MDPI41threelin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3390"/>
        <w:gridCol w:w="3779"/>
      </w:tblGrid>
      <w:tr w:rsidR="0082421E" w:rsidTr="00FA6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59" w:type="dxa"/>
            <w:tcBorders>
              <w:bottom w:val="none" w:sz="0" w:space="0" w:color="auto"/>
            </w:tcBorders>
          </w:tcPr>
          <w:p w:rsidR="0082421E" w:rsidRPr="00190DA3" w:rsidRDefault="0082421E" w:rsidP="00C245A6">
            <w:pPr>
              <w:pStyle w:val="MDPI42tablebody"/>
              <w:rPr>
                <w:b w:val="0"/>
              </w:rPr>
            </w:pPr>
            <w:r w:rsidRPr="00190DA3">
              <w:t>Primer Name</w:t>
            </w:r>
          </w:p>
        </w:tc>
        <w:tc>
          <w:tcPr>
            <w:tcW w:w="3390" w:type="dxa"/>
            <w:tcBorders>
              <w:bottom w:val="none" w:sz="0" w:space="0" w:color="auto"/>
            </w:tcBorders>
          </w:tcPr>
          <w:p w:rsidR="0082421E" w:rsidRPr="00190DA3" w:rsidRDefault="0082421E" w:rsidP="00C245A6">
            <w:pPr>
              <w:pStyle w:val="MDPI42tablebody"/>
              <w:rPr>
                <w:b w:val="0"/>
              </w:rPr>
            </w:pPr>
            <w:r w:rsidRPr="00190DA3">
              <w:t>Sequence</w:t>
            </w:r>
          </w:p>
        </w:tc>
        <w:tc>
          <w:tcPr>
            <w:tcW w:w="3779" w:type="dxa"/>
            <w:tcBorders>
              <w:bottom w:val="none" w:sz="0" w:space="0" w:color="auto"/>
            </w:tcBorders>
          </w:tcPr>
          <w:p w:rsidR="0082421E" w:rsidRPr="00190DA3" w:rsidRDefault="0082421E" w:rsidP="00C245A6">
            <w:pPr>
              <w:pStyle w:val="MDPI42tablebody"/>
              <w:rPr>
                <w:b w:val="0"/>
              </w:rPr>
            </w:pPr>
            <w:r w:rsidRPr="00190DA3">
              <w:t>Target</w:t>
            </w:r>
          </w:p>
        </w:tc>
      </w:tr>
      <w:tr w:rsidR="00DF66C8" w:rsidRPr="00DB162D" w:rsidTr="00FA6283">
        <w:tc>
          <w:tcPr>
            <w:tcW w:w="1659" w:type="dxa"/>
            <w:vAlign w:val="top"/>
          </w:tcPr>
          <w:p w:rsidR="00DF66C8" w:rsidRPr="00190DA3" w:rsidRDefault="00DF66C8" w:rsidP="00DF66C8">
            <w:pPr>
              <w:pStyle w:val="MDPI42tablebody"/>
              <w:jc w:val="left"/>
            </w:pPr>
            <w:r>
              <w:t>F-PhYVV</w:t>
            </w:r>
          </w:p>
        </w:tc>
        <w:tc>
          <w:tcPr>
            <w:tcW w:w="3390" w:type="dxa"/>
          </w:tcPr>
          <w:p w:rsidR="00DF66C8" w:rsidRPr="00190DA3" w:rsidRDefault="00DF66C8" w:rsidP="00DF66C8">
            <w:pPr>
              <w:pStyle w:val="MDPI42tablebody"/>
            </w:pPr>
            <w:r w:rsidRPr="00DF66C8">
              <w:t>ATAAAAACGCCATTCGCTGC</w:t>
            </w:r>
          </w:p>
        </w:tc>
        <w:tc>
          <w:tcPr>
            <w:tcW w:w="3779" w:type="dxa"/>
            <w:vMerge w:val="restart"/>
          </w:tcPr>
          <w:p w:rsidR="00DF66C8" w:rsidRPr="00190DA3" w:rsidRDefault="00DF66C8" w:rsidP="00DF66C8">
            <w:pPr>
              <w:pStyle w:val="MDPI42tablebody"/>
            </w:pPr>
            <w:r>
              <w:t>Specific amplification of PhYVV</w:t>
            </w:r>
          </w:p>
        </w:tc>
      </w:tr>
      <w:tr w:rsidR="00DF66C8" w:rsidRPr="00DB162D" w:rsidTr="00FA6283">
        <w:tc>
          <w:tcPr>
            <w:tcW w:w="1659" w:type="dxa"/>
            <w:vAlign w:val="top"/>
          </w:tcPr>
          <w:p w:rsidR="00DF66C8" w:rsidRPr="00190DA3" w:rsidRDefault="00DF66C8" w:rsidP="00DF66C8">
            <w:pPr>
              <w:pStyle w:val="MDPI42tablebody"/>
              <w:jc w:val="left"/>
            </w:pPr>
            <w:r>
              <w:t>R-PhYVV</w:t>
            </w:r>
          </w:p>
        </w:tc>
        <w:tc>
          <w:tcPr>
            <w:tcW w:w="3390" w:type="dxa"/>
          </w:tcPr>
          <w:p w:rsidR="00DF66C8" w:rsidRPr="00190DA3" w:rsidRDefault="00DF66C8" w:rsidP="00DF66C8">
            <w:pPr>
              <w:pStyle w:val="MDPI42tablebody"/>
            </w:pPr>
            <w:r w:rsidRPr="00DF66C8">
              <w:t>CCCGAAACAATGACACAATGG</w:t>
            </w:r>
          </w:p>
        </w:tc>
        <w:tc>
          <w:tcPr>
            <w:tcW w:w="3779" w:type="dxa"/>
            <w:vMerge/>
          </w:tcPr>
          <w:p w:rsidR="00DF66C8" w:rsidRPr="00190DA3" w:rsidRDefault="00DF66C8" w:rsidP="00DF66C8">
            <w:pPr>
              <w:pStyle w:val="MDPI42tablebody"/>
            </w:pPr>
          </w:p>
        </w:tc>
      </w:tr>
      <w:tr w:rsidR="00DF66C8" w:rsidRPr="00DB162D" w:rsidTr="00FA6283">
        <w:tc>
          <w:tcPr>
            <w:tcW w:w="1659" w:type="dxa"/>
            <w:vAlign w:val="top"/>
          </w:tcPr>
          <w:p w:rsidR="00DF66C8" w:rsidRPr="00190DA3" w:rsidRDefault="00DF66C8" w:rsidP="00DF66C8">
            <w:pPr>
              <w:pStyle w:val="MDPI42tablebody"/>
              <w:jc w:val="left"/>
            </w:pPr>
            <w:r>
              <w:t>F-PepGMV</w:t>
            </w:r>
          </w:p>
        </w:tc>
        <w:tc>
          <w:tcPr>
            <w:tcW w:w="3390" w:type="dxa"/>
          </w:tcPr>
          <w:p w:rsidR="00DF66C8" w:rsidRPr="00190DA3" w:rsidRDefault="00DF66C8" w:rsidP="00DF66C8">
            <w:pPr>
              <w:pStyle w:val="MDPI42tablebody"/>
            </w:pPr>
            <w:r w:rsidRPr="00DF66C8">
              <w:t>AAGCTGTCATCGAAGTCGTC</w:t>
            </w:r>
          </w:p>
        </w:tc>
        <w:tc>
          <w:tcPr>
            <w:tcW w:w="3779" w:type="dxa"/>
            <w:vMerge w:val="restart"/>
          </w:tcPr>
          <w:p w:rsidR="00DF66C8" w:rsidRPr="00190DA3" w:rsidRDefault="00DF66C8" w:rsidP="00DF66C8">
            <w:pPr>
              <w:pStyle w:val="MDPI42tablebody"/>
            </w:pPr>
            <w:r>
              <w:t>Specific amplification of PepGMV</w:t>
            </w:r>
          </w:p>
        </w:tc>
      </w:tr>
      <w:tr w:rsidR="00DF66C8" w:rsidRPr="00DB162D" w:rsidTr="00FA6283">
        <w:tc>
          <w:tcPr>
            <w:tcW w:w="1659" w:type="dxa"/>
            <w:vAlign w:val="top"/>
          </w:tcPr>
          <w:p w:rsidR="00DF66C8" w:rsidRPr="00190DA3" w:rsidRDefault="00DF66C8" w:rsidP="00DF66C8">
            <w:pPr>
              <w:pStyle w:val="MDPI42tablebody"/>
              <w:jc w:val="left"/>
            </w:pPr>
            <w:r>
              <w:t>R-PepGMV</w:t>
            </w:r>
          </w:p>
        </w:tc>
        <w:tc>
          <w:tcPr>
            <w:tcW w:w="3390" w:type="dxa"/>
          </w:tcPr>
          <w:p w:rsidR="00DF66C8" w:rsidRPr="00190DA3" w:rsidRDefault="00DF66C8" w:rsidP="00DF66C8">
            <w:pPr>
              <w:pStyle w:val="MDPI42tablebody"/>
            </w:pPr>
            <w:r w:rsidRPr="00DF66C8">
              <w:t>CAACGTTCAAGCAGCCAAAG</w:t>
            </w:r>
          </w:p>
        </w:tc>
        <w:tc>
          <w:tcPr>
            <w:tcW w:w="3779" w:type="dxa"/>
            <w:vMerge/>
          </w:tcPr>
          <w:p w:rsidR="00DF66C8" w:rsidRPr="00190DA3" w:rsidRDefault="00DF66C8" w:rsidP="00DF66C8">
            <w:pPr>
              <w:pStyle w:val="MDPI42tablebody"/>
            </w:pPr>
          </w:p>
        </w:tc>
      </w:tr>
      <w:tr w:rsidR="00DF66C8" w:rsidRPr="00DB162D" w:rsidTr="00FA6283">
        <w:tc>
          <w:tcPr>
            <w:tcW w:w="1659" w:type="dxa"/>
            <w:vAlign w:val="top"/>
          </w:tcPr>
          <w:p w:rsidR="00DF66C8" w:rsidRPr="00190DA3" w:rsidRDefault="00DF66C8" w:rsidP="00DF66C8">
            <w:pPr>
              <w:pStyle w:val="MDPI42tablebody"/>
              <w:jc w:val="left"/>
            </w:pPr>
            <w:r>
              <w:t>F-ToGMoV</w:t>
            </w:r>
          </w:p>
        </w:tc>
        <w:tc>
          <w:tcPr>
            <w:tcW w:w="3390" w:type="dxa"/>
          </w:tcPr>
          <w:p w:rsidR="00DF66C8" w:rsidRPr="00190DA3" w:rsidRDefault="00DF66C8" w:rsidP="00DF66C8">
            <w:pPr>
              <w:pStyle w:val="MDPI42tablebody"/>
            </w:pPr>
            <w:r w:rsidRPr="00DF66C8">
              <w:t>ACCCGACCCGTTAGGTTAAA</w:t>
            </w:r>
          </w:p>
        </w:tc>
        <w:tc>
          <w:tcPr>
            <w:tcW w:w="3779" w:type="dxa"/>
            <w:vMerge w:val="restart"/>
          </w:tcPr>
          <w:p w:rsidR="00DF66C8" w:rsidRPr="00190DA3" w:rsidRDefault="00DF66C8" w:rsidP="00DF66C8">
            <w:pPr>
              <w:pStyle w:val="MDPI42tablebody"/>
            </w:pPr>
            <w:r>
              <w:t>Specific amplification of ToGMoV</w:t>
            </w:r>
          </w:p>
        </w:tc>
      </w:tr>
      <w:tr w:rsidR="00DF66C8" w:rsidRPr="00DB162D" w:rsidTr="00FA6283">
        <w:tc>
          <w:tcPr>
            <w:tcW w:w="1659" w:type="dxa"/>
            <w:vAlign w:val="top"/>
          </w:tcPr>
          <w:p w:rsidR="00DF66C8" w:rsidRPr="00190DA3" w:rsidRDefault="00DF66C8" w:rsidP="00DF66C8">
            <w:pPr>
              <w:pStyle w:val="MDPI42tablebody"/>
              <w:jc w:val="left"/>
            </w:pPr>
            <w:r>
              <w:t>R-ToGMoV</w:t>
            </w:r>
          </w:p>
        </w:tc>
        <w:tc>
          <w:tcPr>
            <w:tcW w:w="3390" w:type="dxa"/>
          </w:tcPr>
          <w:p w:rsidR="00DF66C8" w:rsidRPr="00190DA3" w:rsidRDefault="00DF66C8" w:rsidP="00DF66C8">
            <w:pPr>
              <w:pStyle w:val="MDPI42tablebody"/>
            </w:pPr>
            <w:r w:rsidRPr="00DF66C8">
              <w:t>AACAGGGCATTCTCTGTGTG</w:t>
            </w:r>
          </w:p>
        </w:tc>
        <w:tc>
          <w:tcPr>
            <w:tcW w:w="3779" w:type="dxa"/>
            <w:vMerge/>
          </w:tcPr>
          <w:p w:rsidR="00DF66C8" w:rsidRPr="00190DA3" w:rsidRDefault="00DF66C8" w:rsidP="00DF66C8">
            <w:pPr>
              <w:pStyle w:val="MDPI42tablebody"/>
            </w:pPr>
          </w:p>
        </w:tc>
      </w:tr>
      <w:tr w:rsidR="00DF66C8" w:rsidRPr="00DB162D" w:rsidTr="00FA6283">
        <w:tc>
          <w:tcPr>
            <w:tcW w:w="1659" w:type="dxa"/>
            <w:vAlign w:val="top"/>
          </w:tcPr>
          <w:p w:rsidR="00DF66C8" w:rsidRDefault="00DF66C8" w:rsidP="00DF66C8">
            <w:pPr>
              <w:pStyle w:val="MDPI42tablebody"/>
              <w:jc w:val="left"/>
            </w:pPr>
            <w:r>
              <w:t>F-RhGMSV</w:t>
            </w:r>
          </w:p>
        </w:tc>
        <w:tc>
          <w:tcPr>
            <w:tcW w:w="3390" w:type="dxa"/>
          </w:tcPr>
          <w:p w:rsidR="00DF66C8" w:rsidRPr="00DF66C8" w:rsidRDefault="00DF66C8" w:rsidP="00DF66C8">
            <w:pPr>
              <w:pStyle w:val="MDPI42tablebody"/>
            </w:pPr>
            <w:r w:rsidRPr="00DF66C8">
              <w:t>AACGGAACTCTCTGCTTGAC</w:t>
            </w:r>
          </w:p>
        </w:tc>
        <w:tc>
          <w:tcPr>
            <w:tcW w:w="3779" w:type="dxa"/>
            <w:vMerge w:val="restart"/>
          </w:tcPr>
          <w:p w:rsidR="00DF66C8" w:rsidRPr="00190DA3" w:rsidRDefault="00DF66C8" w:rsidP="00DF66C8">
            <w:pPr>
              <w:pStyle w:val="MDPI42tablebody"/>
            </w:pPr>
            <w:r>
              <w:t>Specific amplification of RhGMSV</w:t>
            </w:r>
          </w:p>
        </w:tc>
      </w:tr>
      <w:tr w:rsidR="00DF66C8" w:rsidRPr="00DB162D" w:rsidTr="00FA6283">
        <w:tc>
          <w:tcPr>
            <w:tcW w:w="1659" w:type="dxa"/>
            <w:vAlign w:val="top"/>
          </w:tcPr>
          <w:p w:rsidR="00DF66C8" w:rsidRDefault="00DF66C8" w:rsidP="00DF66C8">
            <w:pPr>
              <w:pStyle w:val="MDPI42tablebody"/>
              <w:jc w:val="left"/>
            </w:pPr>
            <w:r>
              <w:t>R-RhGMSV</w:t>
            </w:r>
          </w:p>
        </w:tc>
        <w:tc>
          <w:tcPr>
            <w:tcW w:w="3390" w:type="dxa"/>
          </w:tcPr>
          <w:p w:rsidR="00DF66C8" w:rsidRPr="00DF66C8" w:rsidRDefault="00DF66C8" w:rsidP="00DF66C8">
            <w:pPr>
              <w:pStyle w:val="MDPI42tablebody"/>
            </w:pPr>
            <w:r w:rsidRPr="00DF66C8">
              <w:t>TCCTCCAGCATATAGCACTC</w:t>
            </w:r>
          </w:p>
        </w:tc>
        <w:tc>
          <w:tcPr>
            <w:tcW w:w="3779" w:type="dxa"/>
            <w:vMerge/>
          </w:tcPr>
          <w:p w:rsidR="00DF66C8" w:rsidRPr="00190DA3" w:rsidRDefault="00DF66C8" w:rsidP="00DF66C8">
            <w:pPr>
              <w:pStyle w:val="MDPI42tablebody"/>
            </w:pPr>
          </w:p>
        </w:tc>
      </w:tr>
      <w:tr w:rsidR="00B82C8E" w:rsidRPr="00190DA3" w:rsidTr="001540FA">
        <w:trPr>
          <w:trHeight w:val="526"/>
        </w:trPr>
        <w:tc>
          <w:tcPr>
            <w:tcW w:w="1659" w:type="dxa"/>
            <w:vAlign w:val="top"/>
          </w:tcPr>
          <w:p w:rsidR="00B82C8E" w:rsidRPr="00190DA3" w:rsidRDefault="00B82C8E" w:rsidP="00DD1D1B">
            <w:pPr>
              <w:pStyle w:val="MDPI42tablebody"/>
              <w:jc w:val="left"/>
            </w:pPr>
            <w:r w:rsidRPr="00190DA3">
              <w:rPr>
                <w:noProof/>
              </w:rPr>
              <w:t>F</w:t>
            </w:r>
            <w:r w:rsidRPr="00190DA3">
              <w:t>-</w:t>
            </w:r>
            <w:r w:rsidRPr="00AB511D">
              <w:rPr>
                <w:noProof/>
              </w:rPr>
              <w:t>Rep</w:t>
            </w:r>
            <w:r>
              <w:rPr>
                <w:noProof/>
              </w:rPr>
              <w:t>_PNA</w:t>
            </w:r>
          </w:p>
        </w:tc>
        <w:tc>
          <w:tcPr>
            <w:tcW w:w="3390" w:type="dxa"/>
          </w:tcPr>
          <w:p w:rsidR="00B82C8E" w:rsidRPr="00190DA3" w:rsidRDefault="00B82C8E" w:rsidP="00DD1D1B">
            <w:pPr>
              <w:pStyle w:val="MDPI42tablebody"/>
            </w:pPr>
            <w:r w:rsidRPr="00E423E8">
              <w:t>TTCCCGTCCTTGAATCACC</w:t>
            </w:r>
          </w:p>
        </w:tc>
        <w:tc>
          <w:tcPr>
            <w:tcW w:w="3779" w:type="dxa"/>
            <w:vMerge w:val="restart"/>
          </w:tcPr>
          <w:p w:rsidR="00B82C8E" w:rsidRPr="00190DA3" w:rsidRDefault="00B82C8E" w:rsidP="00DD1D1B">
            <w:pPr>
              <w:pStyle w:val="MDPI42tablebody"/>
            </w:pPr>
            <w:r>
              <w:t xml:space="preserve">Specific amplification of </w:t>
            </w:r>
            <w:r w:rsidR="001540FA">
              <w:t xml:space="preserve">the </w:t>
            </w:r>
            <w:r>
              <w:t>u</w:t>
            </w:r>
            <w:r w:rsidRPr="00DF66C8">
              <w:t xml:space="preserve">pper genome region </w:t>
            </w:r>
            <w:r>
              <w:t xml:space="preserve">of DNA-A CuChLV (region between nucleotide 2028-679) </w:t>
            </w:r>
          </w:p>
        </w:tc>
      </w:tr>
      <w:tr w:rsidR="00B82C8E" w:rsidRPr="00190DA3" w:rsidTr="001540FA">
        <w:trPr>
          <w:trHeight w:val="418"/>
        </w:trPr>
        <w:tc>
          <w:tcPr>
            <w:tcW w:w="1659" w:type="dxa"/>
            <w:vAlign w:val="top"/>
          </w:tcPr>
          <w:p w:rsidR="00B82C8E" w:rsidRPr="00190DA3" w:rsidRDefault="00B82C8E" w:rsidP="00DD1D1B">
            <w:pPr>
              <w:pStyle w:val="MDPI42tablebody"/>
              <w:jc w:val="left"/>
            </w:pPr>
            <w:r w:rsidRPr="00190DA3">
              <w:t>R-</w:t>
            </w:r>
            <w:r w:rsidRPr="00AB511D">
              <w:rPr>
                <w:noProof/>
              </w:rPr>
              <w:t>CP</w:t>
            </w:r>
            <w:r>
              <w:rPr>
                <w:noProof/>
              </w:rPr>
              <w:t>_PNA</w:t>
            </w:r>
            <w:bookmarkStart w:id="0" w:name="_GoBack"/>
            <w:bookmarkEnd w:id="0"/>
          </w:p>
        </w:tc>
        <w:tc>
          <w:tcPr>
            <w:tcW w:w="3390" w:type="dxa"/>
          </w:tcPr>
          <w:p w:rsidR="00B82C8E" w:rsidRPr="00190DA3" w:rsidRDefault="00B82C8E" w:rsidP="00DD1D1B">
            <w:pPr>
              <w:pStyle w:val="MDPI42tablebody"/>
            </w:pPr>
            <w:r w:rsidRPr="00190DA3">
              <w:t>GCAGTGCTAGGTTCATTGTC</w:t>
            </w:r>
          </w:p>
        </w:tc>
        <w:tc>
          <w:tcPr>
            <w:tcW w:w="3779" w:type="dxa"/>
            <w:vMerge/>
          </w:tcPr>
          <w:p w:rsidR="00B82C8E" w:rsidRPr="00190DA3" w:rsidRDefault="00B82C8E" w:rsidP="00DD1D1B">
            <w:pPr>
              <w:pStyle w:val="MDPI42tablebody"/>
            </w:pPr>
          </w:p>
        </w:tc>
      </w:tr>
      <w:tr w:rsidR="00B82C8E" w:rsidRPr="00190DA3" w:rsidTr="001540FA">
        <w:trPr>
          <w:trHeight w:val="441"/>
        </w:trPr>
        <w:tc>
          <w:tcPr>
            <w:tcW w:w="1659" w:type="dxa"/>
            <w:vAlign w:val="top"/>
          </w:tcPr>
          <w:p w:rsidR="00B82C8E" w:rsidRPr="00190DA3" w:rsidRDefault="00B82C8E" w:rsidP="00DD1D1B">
            <w:pPr>
              <w:pStyle w:val="MDPI42tablebody"/>
              <w:jc w:val="left"/>
            </w:pPr>
            <w:r w:rsidRPr="00190DA3">
              <w:t>F-</w:t>
            </w:r>
            <w:r w:rsidRPr="00A311A2">
              <w:rPr>
                <w:noProof/>
              </w:rPr>
              <w:t>CP</w:t>
            </w:r>
            <w:r>
              <w:rPr>
                <w:noProof/>
              </w:rPr>
              <w:t>_PNA</w:t>
            </w:r>
          </w:p>
        </w:tc>
        <w:tc>
          <w:tcPr>
            <w:tcW w:w="3390" w:type="dxa"/>
          </w:tcPr>
          <w:p w:rsidR="00B82C8E" w:rsidRPr="00190DA3" w:rsidRDefault="00B82C8E" w:rsidP="00DD1D1B">
            <w:pPr>
              <w:pStyle w:val="MDPI42tablebody"/>
            </w:pPr>
            <w:r w:rsidRPr="00190DA3">
              <w:t>TCTTGGTCAGAGACAGGAGAC</w:t>
            </w:r>
          </w:p>
        </w:tc>
        <w:tc>
          <w:tcPr>
            <w:tcW w:w="3779" w:type="dxa"/>
            <w:vMerge w:val="restart"/>
          </w:tcPr>
          <w:p w:rsidR="00B82C8E" w:rsidRPr="00190DA3" w:rsidRDefault="00B82C8E" w:rsidP="00DD1D1B">
            <w:pPr>
              <w:pStyle w:val="MDPI42tablebody"/>
            </w:pPr>
            <w:r>
              <w:t xml:space="preserve">Specific amplification of </w:t>
            </w:r>
            <w:r w:rsidR="001540FA">
              <w:t xml:space="preserve">the </w:t>
            </w:r>
            <w:r>
              <w:t>lower</w:t>
            </w:r>
            <w:r w:rsidRPr="00DF66C8">
              <w:t xml:space="preserve"> genome region </w:t>
            </w:r>
            <w:r>
              <w:t>of DNA-A CuChLV (region between nucleotide 614-1938)</w:t>
            </w:r>
          </w:p>
        </w:tc>
      </w:tr>
      <w:tr w:rsidR="00B82C8E" w:rsidRPr="00190DA3" w:rsidTr="00FA6283">
        <w:tc>
          <w:tcPr>
            <w:tcW w:w="1659" w:type="dxa"/>
            <w:vAlign w:val="top"/>
          </w:tcPr>
          <w:p w:rsidR="00B82C8E" w:rsidRPr="00190DA3" w:rsidRDefault="00B82C8E" w:rsidP="00DD1D1B">
            <w:pPr>
              <w:pStyle w:val="MDPI42tablebody"/>
              <w:jc w:val="left"/>
            </w:pPr>
            <w:r w:rsidRPr="00190DA3">
              <w:t>R-</w:t>
            </w:r>
            <w:r w:rsidRPr="00A311A2">
              <w:rPr>
                <w:noProof/>
              </w:rPr>
              <w:t>Rep</w:t>
            </w:r>
            <w:r>
              <w:rPr>
                <w:noProof/>
              </w:rPr>
              <w:t>_PNA</w:t>
            </w:r>
          </w:p>
        </w:tc>
        <w:tc>
          <w:tcPr>
            <w:tcW w:w="3390" w:type="dxa"/>
          </w:tcPr>
          <w:p w:rsidR="00B82C8E" w:rsidRPr="00190DA3" w:rsidRDefault="00B82C8E" w:rsidP="00DD1D1B">
            <w:pPr>
              <w:pStyle w:val="MDPI42tablebody"/>
            </w:pPr>
            <w:r w:rsidRPr="00190DA3">
              <w:t>TCCTCCGTTTCAACTCTCCAC</w:t>
            </w:r>
          </w:p>
        </w:tc>
        <w:tc>
          <w:tcPr>
            <w:tcW w:w="3779" w:type="dxa"/>
            <w:vMerge/>
          </w:tcPr>
          <w:p w:rsidR="00B82C8E" w:rsidRPr="00190DA3" w:rsidRDefault="00B82C8E" w:rsidP="00DD1D1B">
            <w:pPr>
              <w:pStyle w:val="MDPI42tablebody"/>
            </w:pPr>
          </w:p>
        </w:tc>
      </w:tr>
      <w:tr w:rsidR="00B82C8E" w:rsidTr="001540FA">
        <w:trPr>
          <w:trHeight w:val="468"/>
        </w:trPr>
        <w:tc>
          <w:tcPr>
            <w:tcW w:w="1659" w:type="dxa"/>
            <w:vAlign w:val="top"/>
          </w:tcPr>
          <w:p w:rsidR="00B82C8E" w:rsidRDefault="00B82C8E" w:rsidP="00DD1D1B">
            <w:pPr>
              <w:pStyle w:val="MDPI42tablebody"/>
              <w:jc w:val="left"/>
            </w:pPr>
            <w:r w:rsidRPr="000B5BF8">
              <w:t>F-BV1</w:t>
            </w:r>
            <w:r>
              <w:t>_NMB</w:t>
            </w:r>
          </w:p>
        </w:tc>
        <w:tc>
          <w:tcPr>
            <w:tcW w:w="3390" w:type="dxa"/>
          </w:tcPr>
          <w:p w:rsidR="00B82C8E" w:rsidRPr="00DF66C8" w:rsidRDefault="00B82C8E" w:rsidP="00DD1D1B">
            <w:pPr>
              <w:pStyle w:val="MDPI42tablebody"/>
            </w:pPr>
            <w:r w:rsidRPr="00423A04">
              <w:t>CTCTCGTGGTTGTGGTTGAC</w:t>
            </w:r>
          </w:p>
        </w:tc>
        <w:tc>
          <w:tcPr>
            <w:tcW w:w="3779" w:type="dxa"/>
            <w:vMerge w:val="restart"/>
          </w:tcPr>
          <w:p w:rsidR="00B82C8E" w:rsidRDefault="00B82C8E" w:rsidP="00DD1D1B">
            <w:pPr>
              <w:pStyle w:val="MDPI42tablebody"/>
            </w:pPr>
            <w:r>
              <w:t xml:space="preserve">Specific amplification of </w:t>
            </w:r>
            <w:r w:rsidR="001540FA">
              <w:t xml:space="preserve">the </w:t>
            </w:r>
            <w:r>
              <w:t>lower</w:t>
            </w:r>
            <w:r w:rsidRPr="00DF66C8">
              <w:t xml:space="preserve"> genome region </w:t>
            </w:r>
            <w:r>
              <w:t>of DNA-B CuChLV (region between nucleotide 764-2049)</w:t>
            </w:r>
          </w:p>
        </w:tc>
      </w:tr>
      <w:tr w:rsidR="00B82C8E" w:rsidTr="00FA6283">
        <w:tc>
          <w:tcPr>
            <w:tcW w:w="1659" w:type="dxa"/>
            <w:vAlign w:val="top"/>
          </w:tcPr>
          <w:p w:rsidR="00B82C8E" w:rsidRDefault="00B82C8E" w:rsidP="00DD1D1B">
            <w:pPr>
              <w:pStyle w:val="MDPI42tablebody"/>
              <w:jc w:val="left"/>
            </w:pPr>
            <w:r w:rsidRPr="00423A04">
              <w:t>R-BC1</w:t>
            </w:r>
            <w:r>
              <w:t>_ NMB</w:t>
            </w:r>
          </w:p>
        </w:tc>
        <w:tc>
          <w:tcPr>
            <w:tcW w:w="3390" w:type="dxa"/>
          </w:tcPr>
          <w:p w:rsidR="00B82C8E" w:rsidRPr="00DF66C8" w:rsidRDefault="00B82C8E" w:rsidP="00DD1D1B">
            <w:pPr>
              <w:pStyle w:val="MDPI42tablebody"/>
            </w:pPr>
            <w:r w:rsidRPr="00423A04">
              <w:t>CAGCTTTCTCATGACCTCAC</w:t>
            </w:r>
          </w:p>
        </w:tc>
        <w:tc>
          <w:tcPr>
            <w:tcW w:w="3779" w:type="dxa"/>
            <w:vMerge/>
          </w:tcPr>
          <w:p w:rsidR="00B82C8E" w:rsidRDefault="00B82C8E" w:rsidP="00DD1D1B">
            <w:pPr>
              <w:pStyle w:val="MDPI42tablebody"/>
            </w:pPr>
          </w:p>
        </w:tc>
      </w:tr>
      <w:tr w:rsidR="00B82C8E" w:rsidTr="001540FA">
        <w:trPr>
          <w:trHeight w:val="354"/>
        </w:trPr>
        <w:tc>
          <w:tcPr>
            <w:tcW w:w="1659" w:type="dxa"/>
            <w:vAlign w:val="top"/>
          </w:tcPr>
          <w:p w:rsidR="00B82C8E" w:rsidRDefault="00B82C8E" w:rsidP="00DD1D1B">
            <w:pPr>
              <w:pStyle w:val="MDPI42tablebody"/>
              <w:jc w:val="left"/>
            </w:pPr>
            <w:r w:rsidRPr="00423A04">
              <w:t>F-BC1</w:t>
            </w:r>
            <w:r>
              <w:t>_ NMB</w:t>
            </w:r>
          </w:p>
        </w:tc>
        <w:tc>
          <w:tcPr>
            <w:tcW w:w="3390" w:type="dxa"/>
          </w:tcPr>
          <w:p w:rsidR="00B82C8E" w:rsidRPr="00DF66C8" w:rsidRDefault="00B82C8E" w:rsidP="00DD1D1B">
            <w:pPr>
              <w:pStyle w:val="MDPI42tablebody"/>
            </w:pPr>
            <w:r w:rsidRPr="00423A04">
              <w:t>CATGAACGACTCAGTCTTGC</w:t>
            </w:r>
          </w:p>
        </w:tc>
        <w:tc>
          <w:tcPr>
            <w:tcW w:w="3779" w:type="dxa"/>
            <w:vMerge w:val="restart"/>
          </w:tcPr>
          <w:p w:rsidR="00B82C8E" w:rsidRDefault="00B82C8E" w:rsidP="00DD1D1B">
            <w:pPr>
              <w:pStyle w:val="MDPI42tablebody"/>
            </w:pPr>
            <w:r>
              <w:t xml:space="preserve">Specific amplification of </w:t>
            </w:r>
            <w:r w:rsidR="001540FA">
              <w:t xml:space="preserve">the </w:t>
            </w:r>
            <w:r>
              <w:t>upper</w:t>
            </w:r>
            <w:r w:rsidRPr="00DF66C8">
              <w:t xml:space="preserve"> genome region </w:t>
            </w:r>
            <w:r>
              <w:t>of DNA-B CuChLV (region between nucleotide 764-2049)</w:t>
            </w:r>
          </w:p>
        </w:tc>
      </w:tr>
      <w:tr w:rsidR="00B82C8E" w:rsidTr="00FA6283">
        <w:tc>
          <w:tcPr>
            <w:tcW w:w="1659" w:type="dxa"/>
            <w:vAlign w:val="top"/>
          </w:tcPr>
          <w:p w:rsidR="00B82C8E" w:rsidRDefault="00B82C8E" w:rsidP="00DD1D1B">
            <w:pPr>
              <w:pStyle w:val="MDPI42tablebody"/>
              <w:jc w:val="left"/>
            </w:pPr>
            <w:r w:rsidRPr="00423A04">
              <w:t>R-BV1</w:t>
            </w:r>
            <w:r>
              <w:t>_ NMB</w:t>
            </w:r>
          </w:p>
        </w:tc>
        <w:tc>
          <w:tcPr>
            <w:tcW w:w="3390" w:type="dxa"/>
          </w:tcPr>
          <w:p w:rsidR="00B82C8E" w:rsidRPr="00DF66C8" w:rsidRDefault="00B82C8E" w:rsidP="00DD1D1B">
            <w:pPr>
              <w:pStyle w:val="MDPI42tablebody"/>
            </w:pPr>
            <w:r w:rsidRPr="00423A04">
              <w:t>GTATGTAGACATCCAGATGCAC</w:t>
            </w:r>
          </w:p>
        </w:tc>
        <w:tc>
          <w:tcPr>
            <w:tcW w:w="3779" w:type="dxa"/>
            <w:vMerge/>
          </w:tcPr>
          <w:p w:rsidR="00B82C8E" w:rsidRDefault="00B82C8E" w:rsidP="00DD1D1B">
            <w:pPr>
              <w:pStyle w:val="MDPI42tablebody"/>
            </w:pPr>
          </w:p>
        </w:tc>
      </w:tr>
    </w:tbl>
    <w:p w:rsidR="002C4DD6" w:rsidRDefault="007F3E73"/>
    <w:p w:rsidR="00B82C8E" w:rsidRDefault="00B82C8E"/>
    <w:sectPr w:rsidR="00B82C8E" w:rsidSect="00FC3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tzQ2NbAwNjU3MDNU0lEKTi0uzszPAykwrQUAlhArASwAAAA="/>
  </w:docVars>
  <w:rsids>
    <w:rsidRoot w:val="0082421E"/>
    <w:rsid w:val="000B5BF8"/>
    <w:rsid w:val="001540FA"/>
    <w:rsid w:val="002C16DE"/>
    <w:rsid w:val="00375B58"/>
    <w:rsid w:val="00423A04"/>
    <w:rsid w:val="00483FD0"/>
    <w:rsid w:val="007365C3"/>
    <w:rsid w:val="007F3E73"/>
    <w:rsid w:val="007F552B"/>
    <w:rsid w:val="0082421E"/>
    <w:rsid w:val="00AD2120"/>
    <w:rsid w:val="00B82C8E"/>
    <w:rsid w:val="00C2242A"/>
    <w:rsid w:val="00DF66C8"/>
    <w:rsid w:val="00E423E8"/>
    <w:rsid w:val="00F10C5E"/>
    <w:rsid w:val="00F8436C"/>
    <w:rsid w:val="00FA6283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6CA9"/>
  <w15:chartTrackingRefBased/>
  <w15:docId w15:val="{9AA3484B-B9ED-416F-95DD-92C25C9F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21E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basedOn w:val="Normal"/>
    <w:qFormat/>
    <w:rsid w:val="0082421E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customStyle="1" w:styleId="MDPI42tablebody">
    <w:name w:val="MDPI_4.2_table_body"/>
    <w:qFormat/>
    <w:rsid w:val="0082421E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table" w:customStyle="1" w:styleId="MDPI41threelinetable">
    <w:name w:val="MDPI_4.1_three_line_table"/>
    <w:basedOn w:val="TableNormal"/>
    <w:uiPriority w:val="99"/>
    <w:rsid w:val="0082421E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es-MX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yair cardenas</dc:creator>
  <cp:keywords/>
  <dc:description/>
  <cp:lastModifiedBy>yair cardenas</cp:lastModifiedBy>
  <cp:revision>6</cp:revision>
  <dcterms:created xsi:type="dcterms:W3CDTF">2020-01-08T21:10:00Z</dcterms:created>
  <dcterms:modified xsi:type="dcterms:W3CDTF">2020-01-22T18:31:00Z</dcterms:modified>
</cp:coreProperties>
</file>