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4DB6" w14:textId="61F69821" w:rsidR="00733B67" w:rsidRPr="00733B67" w:rsidRDefault="00733B67" w:rsidP="00733B67">
      <w:pPr>
        <w:rPr>
          <w:rFonts w:ascii="Times New Roman" w:hAnsi="Times New Roman" w:cs="Times New Roman"/>
        </w:rPr>
      </w:pPr>
      <w:r w:rsidRPr="00733B67">
        <w:rPr>
          <w:rFonts w:ascii="Times New Roman" w:hAnsi="Times New Roman" w:cs="Times New Roman"/>
        </w:rPr>
        <w:t>Supplemental Table S</w:t>
      </w:r>
      <w:r>
        <w:rPr>
          <w:rFonts w:ascii="Times New Roman" w:hAnsi="Times New Roman" w:cs="Times New Roman"/>
        </w:rPr>
        <w:t>2</w:t>
      </w:r>
      <w:r w:rsidRPr="00733B67">
        <w:rPr>
          <w:rFonts w:ascii="Times New Roman" w:hAnsi="Times New Roman" w:cs="Times New Roman"/>
        </w:rPr>
        <w:t xml:space="preserve">: </w:t>
      </w:r>
    </w:p>
    <w:p w14:paraId="72AC7B55" w14:textId="1135ABF4" w:rsidR="006E02ED" w:rsidRPr="00733B67" w:rsidRDefault="00733B67" w:rsidP="00733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Description of habitat predictors used in species distribution models (SDMs)</w:t>
      </w:r>
      <w:r w:rsidRPr="00733B67">
        <w:rPr>
          <w:rFonts w:ascii="Times New Roman" w:hAnsi="Times New Roman" w:cs="Times New Roman"/>
          <w:b/>
        </w:rPr>
        <w:t>.</w:t>
      </w:r>
    </w:p>
    <w:p w14:paraId="088FD8AF" w14:textId="1178685A" w:rsidR="00733B67" w:rsidRDefault="00733B67"/>
    <w:tbl>
      <w:tblPr>
        <w:tblW w:w="9257" w:type="dxa"/>
        <w:tblLook w:val="04A0" w:firstRow="1" w:lastRow="0" w:firstColumn="1" w:lastColumn="0" w:noHBand="0" w:noVBand="1"/>
      </w:tblPr>
      <w:tblGrid>
        <w:gridCol w:w="1378"/>
        <w:gridCol w:w="1338"/>
        <w:gridCol w:w="5469"/>
        <w:gridCol w:w="1072"/>
      </w:tblGrid>
      <w:tr w:rsidR="00733B67" w:rsidRPr="00733B67" w14:paraId="6D9EA468" w14:textId="77777777" w:rsidTr="00CC10CD">
        <w:trPr>
          <w:trHeight w:val="3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6B5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A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Dataset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21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5B0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</w:tr>
      <w:tr w:rsidR="00733B67" w:rsidRPr="00733B67" w14:paraId="608AB648" w14:textId="77777777" w:rsidTr="00CC10CD">
        <w:trPr>
          <w:trHeight w:val="3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10F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Seafloor Topography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657D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Depth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4832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seafloor depth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390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733B67" w:rsidRPr="00733B67" w14:paraId="755A40A7" w14:textId="77777777" w:rsidTr="00CC10CD">
        <w:trPr>
          <w:trHeight w:val="56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C01F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488A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Slope 60, 240m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9D2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maximum rate of change in seafloor depth between each grid cell and its neighbors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884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Degree</w:t>
            </w:r>
          </w:p>
        </w:tc>
      </w:tr>
      <w:tr w:rsidR="00733B67" w:rsidRPr="00733B67" w14:paraId="0BF1AC8E" w14:textId="77777777" w:rsidTr="00CC10CD">
        <w:trPr>
          <w:trHeight w:val="54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496C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7D4B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Slope of Slope 60, 240m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5D8A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maximum rate of change in seafloor slope between each grid cell and its neighbors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948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Degree</w:t>
            </w:r>
          </w:p>
        </w:tc>
      </w:tr>
      <w:tr w:rsidR="00733B67" w:rsidRPr="00733B67" w14:paraId="64F613A8" w14:textId="77777777" w:rsidTr="00CC10CD">
        <w:trPr>
          <w:trHeight w:val="82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E8E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E58E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Aspect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3581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Downslope direction of maximum rate of change in seafloor depth between each grid cell and its neighbors: Sine circular mean, cosine circular mean, circular SD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330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Unitless</w:t>
            </w:r>
          </w:p>
        </w:tc>
      </w:tr>
      <w:tr w:rsidR="00733B67" w:rsidRPr="00733B67" w14:paraId="2EB6D708" w14:textId="77777777" w:rsidTr="00CC10CD">
        <w:trPr>
          <w:trHeight w:val="84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176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B841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Planar curvature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E08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seafloor curvature perpendicular to the line of maximum slope; value indicates whether flow will converge or diverge over a point; values can be - (concave), + (convex), or 0 (flat)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946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Radians/m</w:t>
            </w:r>
          </w:p>
        </w:tc>
      </w:tr>
      <w:tr w:rsidR="00733B67" w:rsidRPr="00733B67" w14:paraId="6B644888" w14:textId="77777777" w:rsidTr="00CC10CD">
        <w:trPr>
          <w:trHeight w:val="82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50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FC65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Profile curvature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5C2B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seafloor curvature along the line of maximum slope; value indicates whether flow will accelerate or decelerate over the curve; values can be + (concave), - (convex), or 0 (flat)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7A4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Radians/m</w:t>
            </w:r>
          </w:p>
        </w:tc>
      </w:tr>
      <w:tr w:rsidR="00733B67" w:rsidRPr="00733B67" w14:paraId="518E4876" w14:textId="77777777" w:rsidTr="00CC10CD">
        <w:trPr>
          <w:trHeight w:val="11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DF7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4736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Bathymetric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position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index (</w:t>
            </w:r>
            <w:proofErr w:type="gramStart"/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BPI)  60</w:t>
            </w:r>
            <w:proofErr w:type="gramEnd"/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240m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E271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difference in seafloor depth and the mean seafloor depth in an annular neighborhood of specified inner and outer radii; values indicate a location's position relative to the surrounding area; values can be + (ridges), - (valleys), or 0 (flat areas or areas of constant slope)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025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733B67" w:rsidRPr="00733B67" w14:paraId="325710B6" w14:textId="77777777" w:rsidTr="00CC10CD">
        <w:trPr>
          <w:trHeight w:val="56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BB8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Benthic Habitat composition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6E6A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Percentage of landscape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9EB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 of grid cell (60m) composed of each cover type: Coral, CCA, Macroalgae, Turf, Soft bottom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4F2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</w:tr>
      <w:tr w:rsidR="00733B67" w:rsidRPr="00733B67" w14:paraId="1AA37EF1" w14:textId="77777777" w:rsidTr="00CC10CD">
        <w:trPr>
          <w:trHeight w:val="134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E3D1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0A1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Proximity 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index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2F3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indicate the spatial context of both the degree of patch isolation and degree of seascape fragmentation; a value of 0 indicates no neighbors of the same cover class within the search radius, and values increase as patches of the same class become more numerous, closer, and more contiguous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28A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Unitless</w:t>
            </w:r>
          </w:p>
        </w:tc>
      </w:tr>
      <w:tr w:rsidR="00733B67" w:rsidRPr="00733B67" w14:paraId="40C4924A" w14:textId="77777777" w:rsidTr="00CC10CD">
        <w:trPr>
          <w:trHeight w:val="14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FFB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EE26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Shannon's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diversity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index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09F6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indicate habitat diversity in terms of the number of different cover classes present (richness) and the proportional distribution of area among the different cover classes (evenness); a value of 0 indicates only 1 patch (no diversity) and values increase as either the number of different cover classes increases or area becomes more evenly distributed among classes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A42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Unitless</w:t>
            </w:r>
          </w:p>
        </w:tc>
      </w:tr>
      <w:tr w:rsidR="00733B67" w:rsidRPr="00733B67" w14:paraId="532F3568" w14:textId="77777777" w:rsidTr="00CC10CD">
        <w:trPr>
          <w:trHeight w:val="3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F25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Geographic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6B5C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A95F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Latitude at each model grid cell centroid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280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Meters</w:t>
            </w:r>
          </w:p>
        </w:tc>
      </w:tr>
      <w:tr w:rsidR="00733B67" w:rsidRPr="00733B67" w14:paraId="611CFB21" w14:textId="77777777" w:rsidTr="00CC10CD">
        <w:trPr>
          <w:trHeight w:val="3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A8D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2E2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9815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Longitude at each model grid cell centroid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19E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Meters</w:t>
            </w:r>
          </w:p>
        </w:tc>
      </w:tr>
      <w:tr w:rsidR="00733B67" w:rsidRPr="00733B67" w14:paraId="0BBCFFE0" w14:textId="77777777" w:rsidTr="00CC10CD">
        <w:trPr>
          <w:trHeight w:val="56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0DEF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67B7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Distance to shore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7B72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Straight line (Euclidean) distance to the shoreline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573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Meters</w:t>
            </w:r>
          </w:p>
        </w:tc>
      </w:tr>
      <w:tr w:rsidR="00733B67" w:rsidRPr="00733B67" w14:paraId="23EE01BE" w14:textId="77777777" w:rsidTr="00CC10CD">
        <w:trPr>
          <w:trHeight w:val="56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F8B5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Wave energy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2AC4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Wave power 60m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9A82" w14:textId="77777777" w:rsidR="00733B67" w:rsidRPr="00733B67" w:rsidRDefault="00733B67" w:rsidP="00733B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 wave power (wave height x wave period) derived from a 1 year (2000-2009) hindcast wave model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059" w14:textId="77777777" w:rsidR="00733B67" w:rsidRPr="00733B67" w:rsidRDefault="00733B67" w:rsidP="00733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Kilowatts</w:t>
            </w:r>
            <w:r w:rsidRPr="0073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per meter</w:t>
            </w:r>
          </w:p>
        </w:tc>
      </w:tr>
    </w:tbl>
    <w:p w14:paraId="2D4E4DC0" w14:textId="77777777" w:rsidR="00CC10CD" w:rsidRPr="00CC10CD" w:rsidRDefault="00CC10CD" w:rsidP="00CC10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*For predictor generation methods see </w:t>
      </w:r>
      <w:r w:rsidRPr="00CC10CD">
        <w:rPr>
          <w:rFonts w:ascii="Times New Roman" w:hAnsi="Times New Roman" w:cs="Times New Roman"/>
          <w:sz w:val="20"/>
          <w:szCs w:val="20"/>
        </w:rPr>
        <w:t xml:space="preserve">Stamoulis, K. A., M. </w:t>
      </w:r>
      <w:proofErr w:type="spellStart"/>
      <w:r w:rsidRPr="00CC10CD">
        <w:rPr>
          <w:rFonts w:ascii="Times New Roman" w:hAnsi="Times New Roman" w:cs="Times New Roman"/>
          <w:sz w:val="20"/>
          <w:szCs w:val="20"/>
        </w:rPr>
        <w:t>Poti</w:t>
      </w:r>
      <w:proofErr w:type="spellEnd"/>
      <w:r w:rsidRPr="00CC10CD">
        <w:rPr>
          <w:rFonts w:ascii="Times New Roman" w:hAnsi="Times New Roman" w:cs="Times New Roman"/>
          <w:sz w:val="20"/>
          <w:szCs w:val="20"/>
        </w:rPr>
        <w:t xml:space="preserve">, J. M. S. </w:t>
      </w:r>
      <w:proofErr w:type="spellStart"/>
      <w:r w:rsidRPr="00CC10CD">
        <w:rPr>
          <w:rFonts w:ascii="Times New Roman" w:hAnsi="Times New Roman" w:cs="Times New Roman"/>
          <w:sz w:val="20"/>
          <w:szCs w:val="20"/>
        </w:rPr>
        <w:t>Delevaux</w:t>
      </w:r>
      <w:proofErr w:type="spellEnd"/>
      <w:r w:rsidRPr="00CC10CD">
        <w:rPr>
          <w:rFonts w:ascii="Times New Roman" w:hAnsi="Times New Roman" w:cs="Times New Roman"/>
          <w:sz w:val="20"/>
          <w:szCs w:val="20"/>
        </w:rPr>
        <w:t xml:space="preserve">, M. K. Donovan, A. M. Friedlander, and M. S. Kendall. 2016. Chapter 4: Fishes - Reef Fish. Pages 156–196 </w:t>
      </w:r>
      <w:r w:rsidRPr="00CC10CD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CC10CD">
        <w:rPr>
          <w:rFonts w:ascii="Times New Roman" w:hAnsi="Times New Roman" w:cs="Times New Roman"/>
          <w:sz w:val="20"/>
          <w:szCs w:val="20"/>
        </w:rPr>
        <w:t xml:space="preserve"> B. M. Costa and M. S. Kendall, editors. Marine Biogeographic Assessment of the Main Hawaiian Islands. Bureau of Ocean Energy Management and National Oceanic and Atmospheric Administration, Silver Spring, M.D.</w:t>
      </w:r>
    </w:p>
    <w:p w14:paraId="5347EFB4" w14:textId="30098AE1" w:rsidR="00733B67" w:rsidRPr="00CC10CD" w:rsidRDefault="00733B67">
      <w:pPr>
        <w:rPr>
          <w:rFonts w:ascii="Times New Roman" w:hAnsi="Times New Roman" w:cs="Times New Roman"/>
          <w:sz w:val="20"/>
          <w:szCs w:val="20"/>
        </w:rPr>
      </w:pPr>
    </w:p>
    <w:sectPr w:rsidR="00733B67" w:rsidRPr="00CC10CD" w:rsidSect="0044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5825" w14:textId="77777777" w:rsidR="00FC4B7A" w:rsidRDefault="00FC4B7A" w:rsidP="00733B67">
      <w:r>
        <w:separator/>
      </w:r>
    </w:p>
  </w:endnote>
  <w:endnote w:type="continuationSeparator" w:id="0">
    <w:p w14:paraId="6402D29C" w14:textId="77777777" w:rsidR="00FC4B7A" w:rsidRDefault="00FC4B7A" w:rsidP="0073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C6DC" w14:textId="77777777" w:rsidR="00FC4B7A" w:rsidRDefault="00FC4B7A" w:rsidP="00733B67">
      <w:r>
        <w:separator/>
      </w:r>
    </w:p>
  </w:footnote>
  <w:footnote w:type="continuationSeparator" w:id="0">
    <w:p w14:paraId="555D2B3D" w14:textId="77777777" w:rsidR="00FC4B7A" w:rsidRDefault="00FC4B7A" w:rsidP="0073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D"/>
    <w:rsid w:val="004471EC"/>
    <w:rsid w:val="006E02ED"/>
    <w:rsid w:val="00733B67"/>
    <w:rsid w:val="007E0C7C"/>
    <w:rsid w:val="00CC10C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13DE8"/>
  <w15:chartTrackingRefBased/>
  <w15:docId w15:val="{8EB62813-345A-A243-9AAC-78595EC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B67"/>
  </w:style>
  <w:style w:type="paragraph" w:styleId="Footer">
    <w:name w:val="footer"/>
    <w:basedOn w:val="Normal"/>
    <w:link w:val="FooterChar"/>
    <w:uiPriority w:val="99"/>
    <w:unhideWhenUsed/>
    <w:rsid w:val="00733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Kosta</cp:lastModifiedBy>
  <cp:revision>2</cp:revision>
  <dcterms:created xsi:type="dcterms:W3CDTF">2020-03-04T21:39:00Z</dcterms:created>
  <dcterms:modified xsi:type="dcterms:W3CDTF">2020-03-19T00:44:00Z</dcterms:modified>
</cp:coreProperties>
</file>