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2EEF" w14:textId="194F62DB" w:rsidR="00A82CF0" w:rsidRPr="00A82CF0" w:rsidRDefault="006B3EC1" w:rsidP="006B3EC1">
      <w:pPr>
        <w:pStyle w:val="Heading1"/>
        <w:numPr>
          <w:ilvl w:val="0"/>
          <w:numId w:val="0"/>
        </w:numPr>
        <w:ind w:left="432" w:hanging="432"/>
      </w:pPr>
      <w:r>
        <w:t xml:space="preserve">Journal guidelines - </w:t>
      </w:r>
      <w:r w:rsidR="00A82CF0" w:rsidRPr="006B3EC1">
        <w:rPr>
          <w:i/>
          <w:iCs/>
        </w:rPr>
        <w:t>Journal of Comparative Neurology (JCN)</w:t>
      </w:r>
    </w:p>
    <w:p w14:paraId="082F2DA1" w14:textId="302A5DFF" w:rsidR="00EE0ADE" w:rsidRDefault="00EE0ADE" w:rsidP="00EE0ADE">
      <w:pPr>
        <w:pStyle w:val="NoSpacing"/>
        <w:jc w:val="both"/>
      </w:pPr>
      <w:r>
        <w:t xml:space="preserve">The leading journal when it comes to reporting on antibodies in scientific articles is the </w:t>
      </w:r>
      <w:r w:rsidRPr="00E112A2">
        <w:rPr>
          <w:i/>
        </w:rPr>
        <w:t>Journal of Comparative Neurology</w:t>
      </w:r>
      <w:r>
        <w:rPr>
          <w:i/>
        </w:rPr>
        <w:t xml:space="preserve">. </w:t>
      </w:r>
      <w:r>
        <w:t>This journal was the first one to generate attention for the problems related to antibodies and antibody reporting and it is responsible for what some people call the ‘one</w:t>
      </w:r>
      <w:r w:rsidRPr="00E112A2">
        <w:t>-journal revolution’</w:t>
      </w:r>
      <w:r>
        <w:t xml:space="preserve"> on antibody reporting </w:t>
      </w:r>
      <w:r w:rsidRPr="00E112A2">
        <w:fldChar w:fldCharType="begin"/>
      </w:r>
      <w:r>
        <w:instrText xml:space="preserve"> ADDIN EN.CITE &lt;EndNote&gt;&lt;Cite&gt;&lt;Author&gt;Baker&lt;/Author&gt;&lt;Year&gt;2015&lt;/Year&gt;&lt;RecNum&gt;14&lt;/RecNum&gt;&lt;DisplayText&gt;(Baker 2015)&lt;/DisplayText&gt;&lt;record&gt;&lt;rec-number&gt;14&lt;/rec-number&gt;&lt;foreign-keys&gt;&lt;key app="EN" db-id="922z0aw9wfta05e2a0s5wzah2eawzfx92wzt" timestamp="1518339980"&gt;14&lt;/key&gt;&lt;/foreign-keys&gt;&lt;ref-type name="Journal Article"&gt;17&lt;/ref-type&gt;&lt;contributors&gt;&lt;authors&gt;&lt;author&gt;Baker, Monya&lt;/author&gt;&lt;/authors&gt;&lt;/contributors&gt;&lt;titles&gt;&lt;title&gt;Antibody anarchy: A call to order&lt;/title&gt;&lt;secondary-title&gt;Nature&lt;/secondary-title&gt;&lt;/titles&gt;&lt;periodical&gt;&lt;full-title&gt;Nature&lt;/full-title&gt;&lt;/periodical&gt;&lt;pages&gt;545&lt;/pages&gt;&lt;volume&gt;527&lt;/volume&gt;&lt;dates&gt;&lt;year&gt;2015&lt;/year&gt;&lt;pub-dates&gt;&lt;date&gt;11/25/online&lt;/date&gt;&lt;/pub-dates&gt;&lt;/dates&gt;&lt;publisher&gt;Nature Publishing Group, a division of Macmillan Publishers Limited. All Rights Reserved.&lt;/publisher&gt;&lt;urls&gt;&lt;related-urls&gt;&lt;url&gt;http://dx.doi.org/10.1038/527545a&lt;/url&gt;&lt;url&gt;http://www.nature.com/articles/527545a.pdf&lt;/url&gt;&lt;/related-urls&gt;&lt;/urls&gt;&lt;electronic-resource-num&gt;10.1038/527545a&lt;/electronic-resource-num&gt;&lt;/record&gt;&lt;/Cite&gt;&lt;/EndNote&gt;</w:instrText>
      </w:r>
      <w:r w:rsidRPr="00E112A2">
        <w:fldChar w:fldCharType="separate"/>
      </w:r>
      <w:r>
        <w:rPr>
          <w:noProof/>
        </w:rPr>
        <w:t>(Baker 2015)</w:t>
      </w:r>
      <w:r w:rsidRPr="00E112A2">
        <w:fldChar w:fldCharType="end"/>
      </w:r>
      <w:r>
        <w:t>.</w:t>
      </w:r>
    </w:p>
    <w:p w14:paraId="14F63CA1" w14:textId="7F66EEC0" w:rsidR="00EE0ADE" w:rsidRPr="008C5892" w:rsidRDefault="00EE0ADE" w:rsidP="00EE0ADE">
      <w:pPr>
        <w:pStyle w:val="NoSpacing"/>
        <w:ind w:firstLine="720"/>
        <w:jc w:val="both"/>
      </w:pPr>
      <w:r>
        <w:t xml:space="preserve">On 25 August 2003, </w:t>
      </w:r>
      <w:r>
        <w:rPr>
          <w:i/>
        </w:rPr>
        <w:t>JCN</w:t>
      </w:r>
      <w:r>
        <w:t xml:space="preserve"> published an editorial explaining the minimal types of validation that should be carried out with antibodies used in immunohistochemistry. In this editorial, </w:t>
      </w:r>
      <w:r>
        <w:rPr>
          <w:i/>
        </w:rPr>
        <w:t>JCN</w:t>
      </w:r>
      <w:r>
        <w:t xml:space="preserve"> also informed its authors that scientific articles with antibodies in which the antigen is not reported would no longer be published. It also encourages authors to provide full information on the antibodies used; authors need to provide both the catalog number and information on which batch was used. This editorial mostly created awareness of the problems that can arise when using antibodies. It did not provide strict guidelines on antibody reporting in </w:t>
      </w:r>
      <w:r>
        <w:rPr>
          <w:i/>
        </w:rPr>
        <w:t xml:space="preserve">JCN </w:t>
      </w:r>
      <w:r>
        <w:rPr>
          <w:i/>
        </w:rPr>
        <w:fldChar w:fldCharType="begin"/>
      </w:r>
      <w:r>
        <w:rPr>
          <w:i/>
        </w:rPr>
        <w:instrText xml:space="preserve"> ADDIN EN.CITE &lt;EndNote&gt;&lt;Cite&gt;&lt;Author&gt;Saper&lt;/Author&gt;&lt;Year&gt;2003&lt;/Year&gt;&lt;RecNum&gt;71&lt;/RecNum&gt;&lt;DisplayText&gt;(Saper &amp;amp; Sawchenko 2003)&lt;/DisplayText&gt;&lt;record&gt;&lt;rec-number&gt;71&lt;/rec-number&gt;&lt;foreign-keys&gt;&lt;key app="EN" db-id="pt05wster0ef2mepsfuxrx0zfv0e9pp2w9tz" timestamp="1523521297"&gt;71&lt;/key&gt;&lt;key app="ENWeb" db-id=""&gt;0&lt;/key&gt;&lt;/foreign-keys&gt;&lt;ref-type name="Journal Article"&gt;17&lt;/ref-type&gt;&lt;contributors&gt;&lt;authors&gt;&lt;author&gt;Saper, Clifford B&lt;/author&gt;&lt;author&gt;Sawchenko, Paul E&lt;/author&gt;&lt;/authors&gt;&lt;/contributors&gt;&lt;titles&gt;&lt;title&gt;Magic peptides, magic antibodies: guidelines for appropriate controls for immunohistochemistry&lt;/title&gt;&lt;secondary-title&gt;Journal of Comparative Neurology&lt;/secondary-title&gt;&lt;/titles&gt;&lt;periodical&gt;&lt;full-title&gt;Journal of Comparative Neurology&lt;/full-title&gt;&lt;/periodical&gt;&lt;pages&gt;161-163&lt;/pages&gt;&lt;volume&gt;465&lt;/volume&gt;&lt;number&gt;2&lt;/number&gt;&lt;dates&gt;&lt;year&gt;2003&lt;/year&gt;&lt;/dates&gt;&lt;isbn&gt;1096-9861&lt;/isbn&gt;&lt;urls&gt;&lt;related-urls&gt;&lt;url&gt;http://onlinelibrary.wiley.com/store/10.1002/cne.10858/asset/10858_ftp.pdf?v=1&amp;amp;t=jehatytm&amp;amp;s=35f856edbb02bfef2e74cec4af9becc26b413d35&lt;/url&gt;&lt;/related-urls&gt;&lt;/urls&gt;&lt;/record&gt;&lt;/Cite&gt;&lt;/EndNote&gt;</w:instrText>
      </w:r>
      <w:r>
        <w:rPr>
          <w:i/>
        </w:rPr>
        <w:fldChar w:fldCharType="separate"/>
      </w:r>
      <w:r>
        <w:rPr>
          <w:i/>
          <w:noProof/>
        </w:rPr>
        <w:t>(Saper &amp; Sawchenko 2003)</w:t>
      </w:r>
      <w:r>
        <w:rPr>
          <w:i/>
        </w:rPr>
        <w:fldChar w:fldCharType="end"/>
      </w:r>
      <w:r>
        <w:rPr>
          <w:i/>
        </w:rPr>
        <w:t>.</w:t>
      </w:r>
      <w:r>
        <w:t xml:space="preserve"> </w:t>
      </w:r>
    </w:p>
    <w:p w14:paraId="45809660" w14:textId="446E2B2E" w:rsidR="00EE0ADE" w:rsidRDefault="00EE0ADE" w:rsidP="00EE0ADE">
      <w:pPr>
        <w:pStyle w:val="NoSpacing"/>
        <w:ind w:firstLine="720"/>
        <w:jc w:val="both"/>
      </w:pPr>
      <w:r>
        <w:t xml:space="preserve">Two years later, on 22 November 2005, Clifford Saper, the editor in chief of </w:t>
      </w:r>
      <w:r>
        <w:rPr>
          <w:i/>
        </w:rPr>
        <w:t xml:space="preserve">JCN </w:t>
      </w:r>
      <w:r>
        <w:t xml:space="preserve">from 1994 to 2011, published another editorial commenting on the use of antibodies in research. The editors of </w:t>
      </w:r>
      <w:r>
        <w:rPr>
          <w:i/>
        </w:rPr>
        <w:t>JCN</w:t>
      </w:r>
      <w:r>
        <w:t xml:space="preserve"> had become aware of retractions caused by problems with antibodies. This editorial describes a set of rules that should from then onwards be applied to every paper using antibodies </w:t>
      </w:r>
      <w:r>
        <w:fldChar w:fldCharType="begin"/>
      </w:r>
      <w:r>
        <w:instrText xml:space="preserve"> ADDIN EN.CITE &lt;EndNote&gt;&lt;Cite&gt;&lt;Author&gt;Saper&lt;/Author&gt;&lt;Year&gt;2005&lt;/Year&gt;&lt;RecNum&gt;100&lt;/RecNum&gt;&lt;DisplayText&gt;(Saper 2005)&lt;/DisplayText&gt;&lt;record&gt;&lt;rec-number&gt;100&lt;/rec-number&gt;&lt;foreign-keys&gt;&lt;key app="EN" db-id="pt05wster0ef2mepsfuxrx0zfv0e9pp2w9tz" timestamp="1523521419"&gt;100&lt;/key&gt;&lt;key app="ENWeb" db-id=""&gt;0&lt;/key&gt;&lt;/foreign-keys&gt;&lt;ref-type name="Journal Article"&gt;17&lt;/ref-type&gt;&lt;contributors&gt;&lt;authors&gt;&lt;author&gt;Saper, Clifford B.&lt;/author&gt;&lt;/authors&gt;&lt;/contributors&gt;&lt;titles&gt;&lt;title&gt;An open letter to our readers on the use of antibodies&lt;/title&gt;&lt;secondary-title&gt;The Journal of Comparative Neurology&lt;/secondary-title&gt;&lt;/titles&gt;&lt;periodical&gt;&lt;full-title&gt;The Journal of Comparative Neurology&lt;/full-title&gt;&lt;/periodical&gt;&lt;pages&gt;477-478&lt;/pages&gt;&lt;volume&gt;493&lt;/volume&gt;&lt;number&gt;4&lt;/number&gt;&lt;dates&gt;&lt;year&gt;2005&lt;/year&gt;&lt;/dates&gt;&lt;publisher&gt;Wiley Subscription Services, Inc., A Wiley Company&lt;/publisher&gt;&lt;isbn&gt;1096-9861&lt;/isbn&gt;&lt;urls&gt;&lt;related-urls&gt;&lt;url&gt;http://dx.doi.org/10.1002/cne.20839&lt;/url&gt;&lt;url&gt;http://onlinelibrary.wiley.com/store/10.1002/cne.20839/asset/20839_ftp.pdf?v=1&amp;amp;t=jequm8qh&amp;amp;s=c6327e957f5e8778da729b6b028b717282fda88a&lt;/url&gt;&lt;/related-urls&gt;&lt;/urls&gt;&lt;electronic-resource-num&gt;10.1002/cne.20839&lt;/electronic-resource-num&gt;&lt;/record&gt;&lt;/Cite&gt;&lt;/EndNote&gt;</w:instrText>
      </w:r>
      <w:r>
        <w:fldChar w:fldCharType="separate"/>
      </w:r>
      <w:r>
        <w:rPr>
          <w:noProof/>
        </w:rPr>
        <w:t>(Saper 2005)</w:t>
      </w:r>
      <w:r>
        <w:fldChar w:fldCharType="end"/>
      </w:r>
      <w:r>
        <w:t xml:space="preserve">. </w:t>
      </w:r>
    </w:p>
    <w:p w14:paraId="109C92AE" w14:textId="333B7A8D" w:rsidR="00D3412C" w:rsidRDefault="00EE0ADE" w:rsidP="00D3412C">
      <w:pPr>
        <w:pStyle w:val="NoSpacing"/>
        <w:jc w:val="both"/>
      </w:pPr>
      <w:r>
        <w:tab/>
        <w:t xml:space="preserve">After that editorial, </w:t>
      </w:r>
      <w:r w:rsidRPr="00507D77">
        <w:rPr>
          <w:i/>
        </w:rPr>
        <w:t>JCN</w:t>
      </w:r>
      <w:r>
        <w:t xml:space="preserve"> implemented antibody reporting guidelines, which can be found under the instructions for authors section on the journal’s website. With regard to antibodies, they require authors to add an ‘Antibody Characterization’ section to the methods section of a paper.</w:t>
      </w:r>
      <w:r w:rsidR="00D3412C">
        <w:t xml:space="preserve"> They also</w:t>
      </w:r>
      <w:r w:rsidR="009E6F76">
        <w:t xml:space="preserve"> state that they</w:t>
      </w:r>
      <w:r w:rsidR="00D3412C">
        <w:t xml:space="preserve"> support the Resource Identification Initiative (RRID). I</w:t>
      </w:r>
      <w:r w:rsidR="00D3412C">
        <w:t>nformation</w:t>
      </w:r>
      <w:r w:rsidR="00D3412C">
        <w:t xml:space="preserve"> retrieved</w:t>
      </w:r>
      <w:r w:rsidR="00D3412C">
        <w:t xml:space="preserve"> from </w:t>
      </w:r>
      <w:r w:rsidR="00D3412C">
        <w:t xml:space="preserve">the </w:t>
      </w:r>
      <w:r w:rsidR="00D3412C">
        <w:t xml:space="preserve">Author Guidelines section of </w:t>
      </w:r>
      <w:r w:rsidR="00D3412C" w:rsidRPr="00507D77">
        <w:t>website</w:t>
      </w:r>
      <w:r w:rsidR="00D3412C" w:rsidRPr="00507D77">
        <w:rPr>
          <w:i/>
        </w:rPr>
        <w:t xml:space="preserve"> Journal Comparative Neurology</w:t>
      </w:r>
      <w:r w:rsidR="00D3412C">
        <w:t xml:space="preserve"> on 04-05-2018. </w:t>
      </w:r>
    </w:p>
    <w:p w14:paraId="79F0305F" w14:textId="61B3CD8A" w:rsidR="00D3412C" w:rsidRDefault="00EE0ADE" w:rsidP="00EE0ADE">
      <w:pPr>
        <w:pStyle w:val="NoSpacing"/>
        <w:jc w:val="both"/>
      </w:pPr>
      <w:r>
        <w:t xml:space="preserve"> </w:t>
      </w:r>
      <w:r w:rsidR="00D3412C">
        <w:rPr>
          <w:rFonts w:cstheme="minorHAnsi"/>
          <w:noProof/>
        </w:rPr>
        <w:drawing>
          <wp:inline distT="0" distB="0" distL="0" distR="0" wp14:anchorId="74BD376D" wp14:editId="3D0D8A07">
            <wp:extent cx="5756910" cy="3663315"/>
            <wp:effectExtent l="12700" t="12700" r="8890" b="698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3-07 at 16.28.29.png"/>
                    <pic:cNvPicPr/>
                  </pic:nvPicPr>
                  <pic:blipFill>
                    <a:blip r:embed="rId7">
                      <a:extLst>
                        <a:ext uri="{28A0092B-C50C-407E-A947-70E740481C1C}">
                          <a14:useLocalDpi xmlns:a14="http://schemas.microsoft.com/office/drawing/2010/main" val="0"/>
                        </a:ext>
                      </a:extLst>
                    </a:blip>
                    <a:stretch>
                      <a:fillRect/>
                    </a:stretch>
                  </pic:blipFill>
                  <pic:spPr>
                    <a:xfrm>
                      <a:off x="0" y="0"/>
                      <a:ext cx="5756910" cy="3663315"/>
                    </a:xfrm>
                    <a:prstGeom prst="rect">
                      <a:avLst/>
                    </a:prstGeom>
                    <a:ln>
                      <a:solidFill>
                        <a:schemeClr val="accent1"/>
                      </a:solidFill>
                    </a:ln>
                  </pic:spPr>
                </pic:pic>
              </a:graphicData>
            </a:graphic>
          </wp:inline>
        </w:drawing>
      </w:r>
    </w:p>
    <w:p w14:paraId="611A2D4B" w14:textId="715CC5A4" w:rsidR="00D3412C" w:rsidRDefault="00D3412C" w:rsidP="00EE0ADE">
      <w:pPr>
        <w:pStyle w:val="NoSpacing"/>
        <w:jc w:val="both"/>
      </w:pPr>
      <w:r>
        <w:rPr>
          <w:noProof/>
        </w:rPr>
        <w:lastRenderedPageBreak/>
        <w:drawing>
          <wp:inline distT="0" distB="0" distL="0" distR="0" wp14:anchorId="0F170C0F" wp14:editId="76FC956A">
            <wp:extent cx="5756910" cy="3625215"/>
            <wp:effectExtent l="0" t="0" r="0"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03 at 15.22.25.png"/>
                    <pic:cNvPicPr/>
                  </pic:nvPicPr>
                  <pic:blipFill>
                    <a:blip r:embed="rId8">
                      <a:extLst>
                        <a:ext uri="{28A0092B-C50C-407E-A947-70E740481C1C}">
                          <a14:useLocalDpi xmlns:a14="http://schemas.microsoft.com/office/drawing/2010/main" val="0"/>
                        </a:ext>
                      </a:extLst>
                    </a:blip>
                    <a:stretch>
                      <a:fillRect/>
                    </a:stretch>
                  </pic:blipFill>
                  <pic:spPr>
                    <a:xfrm>
                      <a:off x="0" y="0"/>
                      <a:ext cx="5756910" cy="3625215"/>
                    </a:xfrm>
                    <a:prstGeom prst="rect">
                      <a:avLst/>
                    </a:prstGeom>
                  </pic:spPr>
                </pic:pic>
              </a:graphicData>
            </a:graphic>
          </wp:inline>
        </w:drawing>
      </w:r>
    </w:p>
    <w:p w14:paraId="2A17FFDE" w14:textId="10253AB9" w:rsidR="009E6F76" w:rsidRDefault="009E6F76" w:rsidP="00EE0ADE">
      <w:pPr>
        <w:pStyle w:val="NoSpacing"/>
        <w:jc w:val="both"/>
      </w:pPr>
      <w:r>
        <w:rPr>
          <w:noProof/>
        </w:rPr>
        <w:drawing>
          <wp:inline distT="0" distB="0" distL="0" distR="0" wp14:anchorId="7F4A7670" wp14:editId="416199FB">
            <wp:extent cx="5756910" cy="241681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7-03 at 15.22.33.png"/>
                    <pic:cNvPicPr/>
                  </pic:nvPicPr>
                  <pic:blipFill>
                    <a:blip r:embed="rId9">
                      <a:extLst>
                        <a:ext uri="{28A0092B-C50C-407E-A947-70E740481C1C}">
                          <a14:useLocalDpi xmlns:a14="http://schemas.microsoft.com/office/drawing/2010/main" val="0"/>
                        </a:ext>
                      </a:extLst>
                    </a:blip>
                    <a:stretch>
                      <a:fillRect/>
                    </a:stretch>
                  </pic:blipFill>
                  <pic:spPr>
                    <a:xfrm>
                      <a:off x="0" y="0"/>
                      <a:ext cx="5756910" cy="2416810"/>
                    </a:xfrm>
                    <a:prstGeom prst="rect">
                      <a:avLst/>
                    </a:prstGeom>
                  </pic:spPr>
                </pic:pic>
              </a:graphicData>
            </a:graphic>
          </wp:inline>
        </w:drawing>
      </w:r>
    </w:p>
    <w:p w14:paraId="143B2345" w14:textId="77777777" w:rsidR="009E6F76" w:rsidRDefault="009E6F76" w:rsidP="00EE0ADE">
      <w:pPr>
        <w:pStyle w:val="NoSpacing"/>
        <w:jc w:val="both"/>
      </w:pPr>
    </w:p>
    <w:p w14:paraId="66FF8ECD" w14:textId="34CF6AA6" w:rsidR="00EE0ADE" w:rsidRPr="00E92099" w:rsidRDefault="00EE0ADE" w:rsidP="00EE0ADE">
      <w:pPr>
        <w:pStyle w:val="NoSpacing"/>
        <w:jc w:val="both"/>
      </w:pPr>
      <w:r>
        <w:t xml:space="preserve">When authors want to submit a manuscript to </w:t>
      </w:r>
      <w:r>
        <w:rPr>
          <w:i/>
        </w:rPr>
        <w:t>JCN,</w:t>
      </w:r>
      <w:r>
        <w:t xml:space="preserve"> they need to check a box that states that their publication provides full information on all antibodies used</w:t>
      </w:r>
      <w:r w:rsidR="00D3412C">
        <w:t>. S</w:t>
      </w:r>
      <w:r>
        <w:t xml:space="preserve">ubmission process tested on 09-05-2018). </w:t>
      </w:r>
    </w:p>
    <w:p w14:paraId="10F0FD39" w14:textId="77777777" w:rsidR="00EE0ADE" w:rsidRPr="00A82CF0" w:rsidRDefault="00EE0ADE">
      <w:pPr>
        <w:rPr>
          <w:lang w:val="en-US"/>
        </w:rPr>
      </w:pPr>
    </w:p>
    <w:p w14:paraId="617D03E9" w14:textId="27DF3CB1" w:rsidR="00A82CF0" w:rsidRDefault="00A82CF0">
      <w:r>
        <w:rPr>
          <w:noProof/>
        </w:rPr>
        <w:drawing>
          <wp:inline distT="0" distB="0" distL="0" distR="0" wp14:anchorId="5F2D0E2C" wp14:editId="33019AE4">
            <wp:extent cx="5756910" cy="1365250"/>
            <wp:effectExtent l="0" t="0" r="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03 at 15.17.13.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1365250"/>
                    </a:xfrm>
                    <a:prstGeom prst="rect">
                      <a:avLst/>
                    </a:prstGeom>
                  </pic:spPr>
                </pic:pic>
              </a:graphicData>
            </a:graphic>
          </wp:inline>
        </w:drawing>
      </w:r>
    </w:p>
    <w:p w14:paraId="1D804257" w14:textId="41BF233F" w:rsidR="002324F9" w:rsidRPr="00022628" w:rsidRDefault="002324F9" w:rsidP="00183103">
      <w:pPr>
        <w:rPr>
          <w:lang w:val="en-US"/>
        </w:rPr>
      </w:pPr>
      <w:r w:rsidRPr="00022628">
        <w:rPr>
          <w:lang w:val="en-US"/>
        </w:rPr>
        <w:br w:type="page"/>
      </w:r>
    </w:p>
    <w:p w14:paraId="27D3806E" w14:textId="2BA90D60" w:rsidR="00A82CF0" w:rsidRDefault="006B3EC1" w:rsidP="006B3EC1">
      <w:pPr>
        <w:pStyle w:val="Heading1"/>
        <w:numPr>
          <w:ilvl w:val="0"/>
          <w:numId w:val="0"/>
        </w:numPr>
        <w:ind w:left="432" w:hanging="432"/>
      </w:pPr>
      <w:r>
        <w:lastRenderedPageBreak/>
        <w:t xml:space="preserve">Journal guidelines - </w:t>
      </w:r>
      <w:r w:rsidR="002324F9" w:rsidRPr="006B3EC1">
        <w:rPr>
          <w:i/>
          <w:iCs/>
        </w:rPr>
        <w:t>Nature</w:t>
      </w:r>
    </w:p>
    <w:p w14:paraId="73FA0478" w14:textId="56CFEB64" w:rsidR="00EE0ADE" w:rsidRPr="009E6F76" w:rsidRDefault="00EE0ADE" w:rsidP="00EE0ADE">
      <w:pPr>
        <w:pStyle w:val="NoSpacing"/>
        <w:jc w:val="both"/>
        <w:rPr>
          <w:noProof/>
        </w:rPr>
      </w:pPr>
      <w:r>
        <w:t xml:space="preserve">In an effort to reduce the irreproducibility of the research published in their journal, </w:t>
      </w:r>
      <w:r w:rsidRPr="00507D77">
        <w:rPr>
          <w:i/>
        </w:rPr>
        <w:t>Nature</w:t>
      </w:r>
      <w:r>
        <w:t xml:space="preserve"> implemented a Reporting Checklist for Life Science Articles in May 2013. This checklist should improve reporting of a few crucial experimental and analytical design elements of research. From that moment onwards, authors were required to fill out this checklist at submission of their paper. At the same time, </w:t>
      </w:r>
      <w:r>
        <w:rPr>
          <w:i/>
        </w:rPr>
        <w:t>Nature</w:t>
      </w:r>
      <w:r>
        <w:t xml:space="preserve"> also abolished space restrictions on the methods section</w:t>
      </w:r>
      <w:r>
        <w:t xml:space="preserve"> </w:t>
      </w:r>
      <w:r>
        <w:fldChar w:fldCharType="begin"/>
      </w:r>
      <w:r>
        <w:instrText xml:space="preserve"> ADDIN EN.CITE &lt;EndNote&gt;&lt;Cite&gt;&lt;Author&gt;Nature&lt;/Author&gt;&lt;Year&gt;2013&lt;/Year&gt;&lt;RecNum&gt;173&lt;/RecNum&gt;&lt;DisplayText&gt;(Nature 2013)&lt;/DisplayText&gt;&lt;record&gt;&lt;rec-number&gt;173&lt;/rec-number&gt;&lt;foreign-keys&gt;&lt;key app="EN" db-id="922z0aw9wfta05e2a0s5wzah2eawzfx92wzt" timestamp="1526300342"&gt;173&lt;/key&gt;&lt;key app="ENWeb" db-id=""&gt;0&lt;/key&gt;&lt;/foreign-keys&gt;&lt;ref-type name="Journal Article"&gt;17&lt;/ref-type&gt;&lt;contributors&gt;&lt;authors&gt;&lt;author&gt;Nature&lt;/author&gt;&lt;/authors&gt;&lt;/contributors&gt;&lt;titles&gt;&lt;title&gt;Reducing our irreproducibility&lt;/title&gt;&lt;secondary-title&gt;Nature&lt;/secondary-title&gt;&lt;/titles&gt;&lt;periodical&gt;&lt;full-title&gt;Nature&lt;/full-title&gt;&lt;/periodical&gt;&lt;pages&gt;398-398&lt;/pages&gt;&lt;volume&gt;496&lt;/volume&gt;&lt;number&gt;7446&lt;/number&gt;&lt;dates&gt;&lt;year&gt;2013&lt;/year&gt;&lt;/dates&gt;&lt;isbn&gt;1476-4687 0028-0836&lt;/isbn&gt;&lt;urls&gt;&lt;/urls&gt;&lt;remote-database-name&gt;/z-wcorg/&lt;/remote-database-name&gt;&lt;remote-database-provider&gt;http://worldcat.org&lt;/remote-database-provider&gt;&lt;language&gt;eng&lt;/language&gt;&lt;/record&gt;&lt;/Cite&gt;&lt;/EndNote&gt;</w:instrText>
      </w:r>
      <w:r>
        <w:fldChar w:fldCharType="separate"/>
      </w:r>
      <w:r>
        <w:rPr>
          <w:noProof/>
        </w:rPr>
        <w:t>(Nature 2013)</w:t>
      </w:r>
      <w:r>
        <w:fldChar w:fldCharType="end"/>
      </w:r>
      <w:r>
        <w:rPr>
          <w:i/>
          <w:iCs/>
          <w:noProof/>
        </w:rPr>
        <w:t xml:space="preserve">. </w:t>
      </w:r>
    </w:p>
    <w:p w14:paraId="01864415" w14:textId="77777777" w:rsidR="009E6F76" w:rsidRDefault="009E6F76" w:rsidP="00EE0ADE">
      <w:pPr>
        <w:pStyle w:val="NoSpacing"/>
        <w:jc w:val="both"/>
        <w:rPr>
          <w:i/>
          <w:iCs/>
          <w:noProof/>
        </w:rPr>
      </w:pPr>
    </w:p>
    <w:p w14:paraId="4045D53E" w14:textId="3A8AB36C" w:rsidR="009E6F76" w:rsidRPr="009E6F76" w:rsidRDefault="009E6F76" w:rsidP="009E6F76">
      <w:pPr>
        <w:pStyle w:val="NoSpacing"/>
        <w:rPr>
          <w:i/>
          <w:iCs/>
        </w:rPr>
      </w:pPr>
      <w:r w:rsidRPr="009E6F76">
        <w:t>Antibod</w:t>
      </w:r>
      <w:r>
        <w:t>y</w:t>
      </w:r>
      <w:r w:rsidRPr="009E6F76">
        <w:t xml:space="preserve"> section of </w:t>
      </w:r>
      <w:r w:rsidRPr="009E6F76">
        <w:t xml:space="preserve">Reporting Checklist </w:t>
      </w:r>
      <w:r w:rsidR="00532905">
        <w:t>f</w:t>
      </w:r>
      <w:bookmarkStart w:id="0" w:name="_GoBack"/>
      <w:bookmarkEnd w:id="0"/>
      <w:r w:rsidRPr="009E6F76">
        <w:t>or Life Sciences Articles 2013</w:t>
      </w:r>
      <w:r>
        <w:t xml:space="preserve">: </w:t>
      </w:r>
    </w:p>
    <w:p w14:paraId="52127BC5" w14:textId="77777777" w:rsidR="009E6F76" w:rsidRDefault="009E6F76" w:rsidP="009E6F76">
      <w:pPr>
        <w:rPr>
          <w:i/>
          <w:iCs/>
        </w:rPr>
      </w:pPr>
      <w:r>
        <w:rPr>
          <w:i/>
          <w:iCs/>
          <w:noProof/>
        </w:rPr>
        <w:drawing>
          <wp:inline distT="0" distB="0" distL="0" distR="0" wp14:anchorId="2102F9E4" wp14:editId="0A396477">
            <wp:extent cx="5756910" cy="1052830"/>
            <wp:effectExtent l="0" t="0" r="0" b="127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7-03 at 15.26.31.png"/>
                    <pic:cNvPicPr/>
                  </pic:nvPicPr>
                  <pic:blipFill>
                    <a:blip r:embed="rId11">
                      <a:extLst>
                        <a:ext uri="{28A0092B-C50C-407E-A947-70E740481C1C}">
                          <a14:useLocalDpi xmlns:a14="http://schemas.microsoft.com/office/drawing/2010/main" val="0"/>
                        </a:ext>
                      </a:extLst>
                    </a:blip>
                    <a:stretch>
                      <a:fillRect/>
                    </a:stretch>
                  </pic:blipFill>
                  <pic:spPr>
                    <a:xfrm>
                      <a:off x="0" y="0"/>
                      <a:ext cx="5756910" cy="1052830"/>
                    </a:xfrm>
                    <a:prstGeom prst="rect">
                      <a:avLst/>
                    </a:prstGeom>
                  </pic:spPr>
                </pic:pic>
              </a:graphicData>
            </a:graphic>
          </wp:inline>
        </w:drawing>
      </w:r>
    </w:p>
    <w:p w14:paraId="2A232303" w14:textId="77777777" w:rsidR="009E6F76" w:rsidRDefault="009E6F76" w:rsidP="009E6F76">
      <w:pPr>
        <w:rPr>
          <w:i/>
          <w:iCs/>
        </w:rPr>
      </w:pPr>
    </w:p>
    <w:p w14:paraId="598A5545" w14:textId="5F0147C9" w:rsidR="00EE0ADE" w:rsidRDefault="00EE0ADE" w:rsidP="009E6F76">
      <w:pPr>
        <w:pStyle w:val="NoSpacing"/>
        <w:jc w:val="both"/>
      </w:pPr>
      <w:r>
        <w:t xml:space="preserve">On 1 June 2017, </w:t>
      </w:r>
      <w:r>
        <w:rPr>
          <w:i/>
        </w:rPr>
        <w:t xml:space="preserve">Nature </w:t>
      </w:r>
      <w:r>
        <w:t>published another announcement stating that the journal would go one step further in trying to improve the quality of reporting. From then onwards, authors in the life science field are required to fill out a Life Science Reporting Summary that will be published as supplementary information alongside the article. This document contains details about the experimental design, analysis and reagents</w:t>
      </w:r>
      <w:r>
        <w:t xml:space="preserve"> </w:t>
      </w:r>
      <w:r>
        <w:fldChar w:fldCharType="begin"/>
      </w:r>
      <w:r>
        <w:instrText xml:space="preserve"> ADDIN EN.CITE &lt;EndNote&gt;&lt;Cite&gt;&lt;Author&gt;Nature&lt;/Author&gt;&lt;Year&gt;2017&lt;/Year&gt;&lt;RecNum&gt;174&lt;/RecNum&gt;&lt;DisplayText&gt;(Nature 2017)&lt;/DisplayText&gt;&lt;record&gt;&lt;rec-number&gt;174&lt;/rec-number&gt;&lt;foreign-keys&gt;&lt;key app="EN" db-id="922z0aw9wfta05e2a0s5wzah2eawzfx92wzt" timestamp="1526300343"&gt;174&lt;/key&gt;&lt;key app="ENWeb" db-id=""&gt;0&lt;/key&gt;&lt;/foreign-keys&gt;&lt;ref-type name="Journal Article"&gt;17&lt;/ref-type&gt;&lt;contributors&gt;&lt;authors&gt;&lt;author&gt;Nature&lt;/author&gt;&lt;/authors&gt;&lt;/contributors&gt;&lt;titles&gt;&lt;title&gt;Towards greater reproducibility&lt;/title&gt;&lt;secondary-title&gt;Nature&lt;/secondary-title&gt;&lt;/titles&gt;&lt;periodical&gt;&lt;full-title&gt;Nature&lt;/full-title&gt;&lt;/periodical&gt;&lt;volume&gt;546&lt;/volume&gt;&lt;number&gt;8&lt;/number&gt;&lt;dates&gt;&lt;year&gt;2017&lt;/year&gt;&lt;pub-dates&gt;&lt;date&gt;01 June 2017&lt;/date&gt;&lt;/pub-dates&gt;&lt;/dates&gt;&lt;work-type&gt;Announcement&lt;/work-type&gt;&lt;urls&gt;&lt;related-urls&gt;&lt;url&gt;https://www.nature.com/news/announcement-towards-greater-reproducibility-for-life-sciences-research-in-nature-1.22062&lt;/url&gt;&lt;/related-urls&gt;&lt;/urls&gt;&lt;electronic-resource-num&gt;10.1038/546008a&lt;/electronic-resource-num&gt;&lt;/record&gt;&lt;/Cite&gt;&lt;/EndNote&gt;</w:instrText>
      </w:r>
      <w:r>
        <w:fldChar w:fldCharType="separate"/>
      </w:r>
      <w:r>
        <w:rPr>
          <w:noProof/>
        </w:rPr>
        <w:t>(Nature 2017)</w:t>
      </w:r>
      <w:r>
        <w:fldChar w:fldCharType="end"/>
      </w:r>
      <w:r>
        <w:t xml:space="preserve">. </w:t>
      </w:r>
    </w:p>
    <w:p w14:paraId="4F2BCE46" w14:textId="77777777" w:rsidR="009E6F76" w:rsidRDefault="009E6F76" w:rsidP="009E6F76">
      <w:pPr>
        <w:pStyle w:val="NoSpacing"/>
        <w:jc w:val="both"/>
      </w:pPr>
    </w:p>
    <w:p w14:paraId="6594857B" w14:textId="05799988" w:rsidR="009E6F76" w:rsidRDefault="009E6F76" w:rsidP="009E6F76">
      <w:pPr>
        <w:pStyle w:val="NoSpacing"/>
      </w:pPr>
      <w:r>
        <w:t xml:space="preserve">Antibody section of </w:t>
      </w:r>
      <w:r>
        <w:t xml:space="preserve">Reporting Summary </w:t>
      </w:r>
      <w:r w:rsidR="00532905">
        <w:t>f</w:t>
      </w:r>
      <w:r>
        <w:t>or Life Sciences Articles June 2017</w:t>
      </w:r>
      <w:r>
        <w:t>:</w:t>
      </w:r>
    </w:p>
    <w:p w14:paraId="0DD1BC98" w14:textId="77777777" w:rsidR="009E6F76" w:rsidRPr="002324F9" w:rsidRDefault="009E6F76" w:rsidP="009E6F76">
      <w:pPr>
        <w:rPr>
          <w:i/>
          <w:iCs/>
          <w:lang w:val="en-US"/>
        </w:rPr>
      </w:pPr>
      <w:r>
        <w:rPr>
          <w:i/>
          <w:iCs/>
          <w:noProof/>
          <w:lang w:val="en-US"/>
        </w:rPr>
        <w:drawing>
          <wp:inline distT="0" distB="0" distL="0" distR="0" wp14:anchorId="2F7199EB" wp14:editId="342A8A1D">
            <wp:extent cx="5756910" cy="53403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7-03 at 15.30.37.png"/>
                    <pic:cNvPicPr/>
                  </pic:nvPicPr>
                  <pic:blipFill>
                    <a:blip r:embed="rId12">
                      <a:extLst>
                        <a:ext uri="{28A0092B-C50C-407E-A947-70E740481C1C}">
                          <a14:useLocalDpi xmlns:a14="http://schemas.microsoft.com/office/drawing/2010/main" val="0"/>
                        </a:ext>
                      </a:extLst>
                    </a:blip>
                    <a:stretch>
                      <a:fillRect/>
                    </a:stretch>
                  </pic:blipFill>
                  <pic:spPr>
                    <a:xfrm>
                      <a:off x="0" y="0"/>
                      <a:ext cx="5756910" cy="534035"/>
                    </a:xfrm>
                    <a:prstGeom prst="rect">
                      <a:avLst/>
                    </a:prstGeom>
                  </pic:spPr>
                </pic:pic>
              </a:graphicData>
            </a:graphic>
          </wp:inline>
        </w:drawing>
      </w:r>
    </w:p>
    <w:p w14:paraId="423CBED4" w14:textId="77777777" w:rsidR="009E6F76" w:rsidRDefault="009E6F76" w:rsidP="009E6F76">
      <w:pPr>
        <w:rPr>
          <w:rFonts w:ascii="Times New Roman" w:hAnsi="Times New Roman" w:cs="Times New Roman"/>
          <w:color w:val="CD0000"/>
          <w:lang w:val="en-US"/>
        </w:rPr>
      </w:pPr>
    </w:p>
    <w:p w14:paraId="3527B385" w14:textId="181A9A77" w:rsidR="009E6F76" w:rsidRPr="002324F9" w:rsidRDefault="009E6F76" w:rsidP="009E6F76">
      <w:pPr>
        <w:pStyle w:val="NoSpacing"/>
        <w:rPr>
          <w:i/>
          <w:iCs/>
        </w:rPr>
      </w:pPr>
      <w:r>
        <w:t xml:space="preserve">Antibody section of </w:t>
      </w:r>
      <w:r>
        <w:t xml:space="preserve">Reporting Summary </w:t>
      </w:r>
      <w:r w:rsidR="00532905">
        <w:t>f</w:t>
      </w:r>
      <w:r>
        <w:t>or Life Sciences Articles March 2018</w:t>
      </w:r>
    </w:p>
    <w:p w14:paraId="4F1EC185" w14:textId="77777777" w:rsidR="009E6F76" w:rsidRPr="00EE0ADE" w:rsidRDefault="009E6F76" w:rsidP="009E6F76">
      <w:pPr>
        <w:rPr>
          <w:rFonts w:ascii="Times New Roman" w:hAnsi="Times New Roman" w:cs="Times New Roman"/>
          <w:sz w:val="44"/>
          <w:szCs w:val="44"/>
          <w:lang w:val="en-US"/>
        </w:rPr>
      </w:pPr>
      <w:r>
        <w:rPr>
          <w:rFonts w:ascii="Times New Roman" w:hAnsi="Times New Roman" w:cs="Times New Roman"/>
          <w:noProof/>
          <w:sz w:val="44"/>
          <w:szCs w:val="44"/>
          <w:lang w:val="en-US"/>
        </w:rPr>
        <w:drawing>
          <wp:inline distT="0" distB="0" distL="0" distR="0" wp14:anchorId="69F2DABD" wp14:editId="24BE732E">
            <wp:extent cx="5756910" cy="812165"/>
            <wp:effectExtent l="0" t="0" r="0" b="63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7-03 at 15.28.11.png"/>
                    <pic:cNvPicPr/>
                  </pic:nvPicPr>
                  <pic:blipFill>
                    <a:blip r:embed="rId13">
                      <a:extLst>
                        <a:ext uri="{28A0092B-C50C-407E-A947-70E740481C1C}">
                          <a14:useLocalDpi xmlns:a14="http://schemas.microsoft.com/office/drawing/2010/main" val="0"/>
                        </a:ext>
                      </a:extLst>
                    </a:blip>
                    <a:stretch>
                      <a:fillRect/>
                    </a:stretch>
                  </pic:blipFill>
                  <pic:spPr>
                    <a:xfrm>
                      <a:off x="0" y="0"/>
                      <a:ext cx="5756910" cy="812165"/>
                    </a:xfrm>
                    <a:prstGeom prst="rect">
                      <a:avLst/>
                    </a:prstGeom>
                  </pic:spPr>
                </pic:pic>
              </a:graphicData>
            </a:graphic>
          </wp:inline>
        </w:drawing>
      </w:r>
    </w:p>
    <w:p w14:paraId="755C00B8" w14:textId="77777777" w:rsidR="009E6F76" w:rsidRDefault="009E6F76" w:rsidP="009E6F76">
      <w:pPr>
        <w:pStyle w:val="NoSpacing"/>
        <w:jc w:val="both"/>
      </w:pPr>
    </w:p>
    <w:p w14:paraId="45B727D3" w14:textId="77777777" w:rsidR="00EE0ADE" w:rsidRDefault="00EE0ADE" w:rsidP="009E6F76">
      <w:pPr>
        <w:pStyle w:val="NoSpacing"/>
        <w:jc w:val="both"/>
      </w:pPr>
      <w:r>
        <w:t xml:space="preserve">During the submission process, </w:t>
      </w:r>
      <w:r w:rsidRPr="001A43BA">
        <w:rPr>
          <w:i/>
        </w:rPr>
        <w:t xml:space="preserve">Nature </w:t>
      </w:r>
      <w:r>
        <w:t xml:space="preserve">asks its authors to upload the reporting summary at the same moment as the manuscript. The journal warns its authors that failure to hand it in at submission may delay the handling of the submission since the form needs to be provided to reviewers if the paper is sent for peer-review (submission process tested on 09-05-2018). </w:t>
      </w:r>
    </w:p>
    <w:p w14:paraId="4A9F661F" w14:textId="77777777" w:rsidR="002324F9" w:rsidRDefault="002324F9" w:rsidP="002324F9">
      <w:pPr>
        <w:rPr>
          <w:rFonts w:ascii="Times New Roman" w:hAnsi="Times New Roman" w:cs="Times New Roman"/>
          <w:color w:val="CD0000"/>
          <w:lang w:val="en-US"/>
        </w:rPr>
      </w:pPr>
    </w:p>
    <w:p w14:paraId="1D961C0D" w14:textId="18666263" w:rsidR="002762F8" w:rsidRPr="00EE0ADE" w:rsidRDefault="00EE0ADE" w:rsidP="006B3EC1">
      <w:pPr>
        <w:pStyle w:val="Heading1"/>
        <w:numPr>
          <w:ilvl w:val="0"/>
          <w:numId w:val="0"/>
        </w:numPr>
        <w:ind w:left="432" w:hanging="432"/>
      </w:pPr>
      <w:r>
        <w:t>References</w:t>
      </w:r>
    </w:p>
    <w:p w14:paraId="4A17E0DC" w14:textId="77777777" w:rsidR="00EE0ADE" w:rsidRPr="00EE0ADE" w:rsidRDefault="002762F8" w:rsidP="00EE0ADE">
      <w:pPr>
        <w:pStyle w:val="EndNoteBibliography"/>
        <w:ind w:left="720" w:hanging="720"/>
        <w:rPr>
          <w:noProof/>
        </w:rPr>
      </w:pPr>
      <w:r>
        <w:rPr>
          <w:i/>
          <w:iCs/>
        </w:rPr>
        <w:fldChar w:fldCharType="begin"/>
      </w:r>
      <w:r>
        <w:rPr>
          <w:i/>
          <w:iCs/>
        </w:rPr>
        <w:instrText xml:space="preserve"> ADDIN EN.REFLIST </w:instrText>
      </w:r>
      <w:r>
        <w:rPr>
          <w:i/>
          <w:iCs/>
        </w:rPr>
        <w:fldChar w:fldCharType="separate"/>
      </w:r>
      <w:r w:rsidR="00EE0ADE" w:rsidRPr="00EE0ADE">
        <w:rPr>
          <w:noProof/>
        </w:rPr>
        <w:t>Baker M. 2015. Antibody anarchy: A call to order.</w:t>
      </w:r>
      <w:r w:rsidR="00EE0ADE" w:rsidRPr="00EE0ADE">
        <w:rPr>
          <w:i/>
          <w:noProof/>
        </w:rPr>
        <w:t xml:space="preserve"> Nature</w:t>
      </w:r>
      <w:r w:rsidR="00EE0ADE" w:rsidRPr="00EE0ADE">
        <w:rPr>
          <w:noProof/>
        </w:rPr>
        <w:t xml:space="preserve"> 527:545. 10.1038/527545a</w:t>
      </w:r>
    </w:p>
    <w:p w14:paraId="3580B12D" w14:textId="77777777" w:rsidR="00EE0ADE" w:rsidRPr="00EE0ADE" w:rsidRDefault="00EE0ADE" w:rsidP="00EE0ADE">
      <w:pPr>
        <w:pStyle w:val="EndNoteBibliography"/>
        <w:ind w:left="720" w:hanging="720"/>
        <w:rPr>
          <w:noProof/>
        </w:rPr>
      </w:pPr>
      <w:r w:rsidRPr="00EE0ADE">
        <w:rPr>
          <w:noProof/>
        </w:rPr>
        <w:t>Nature. 2013. Reducing our irreproducibility.</w:t>
      </w:r>
      <w:r w:rsidRPr="00EE0ADE">
        <w:rPr>
          <w:i/>
          <w:noProof/>
        </w:rPr>
        <w:t xml:space="preserve"> Nature</w:t>
      </w:r>
      <w:r w:rsidRPr="00EE0ADE">
        <w:rPr>
          <w:noProof/>
        </w:rPr>
        <w:t xml:space="preserve"> 496:398-398. </w:t>
      </w:r>
    </w:p>
    <w:p w14:paraId="6BE4E658" w14:textId="77777777" w:rsidR="00EE0ADE" w:rsidRPr="00EE0ADE" w:rsidRDefault="00EE0ADE" w:rsidP="00EE0ADE">
      <w:pPr>
        <w:pStyle w:val="EndNoteBibliography"/>
        <w:ind w:left="720" w:hanging="720"/>
        <w:rPr>
          <w:noProof/>
        </w:rPr>
      </w:pPr>
      <w:r w:rsidRPr="00EE0ADE">
        <w:rPr>
          <w:noProof/>
        </w:rPr>
        <w:t>Nature. 2017. Towards greater reproducibility.</w:t>
      </w:r>
      <w:r w:rsidRPr="00EE0ADE">
        <w:rPr>
          <w:i/>
          <w:noProof/>
        </w:rPr>
        <w:t xml:space="preserve"> Nature</w:t>
      </w:r>
      <w:r w:rsidRPr="00EE0ADE">
        <w:rPr>
          <w:noProof/>
        </w:rPr>
        <w:t xml:space="preserve"> 546. 10.1038/546008a</w:t>
      </w:r>
    </w:p>
    <w:p w14:paraId="6D181BDB" w14:textId="77777777" w:rsidR="00EE0ADE" w:rsidRPr="00EE0ADE" w:rsidRDefault="00EE0ADE" w:rsidP="00EE0ADE">
      <w:pPr>
        <w:pStyle w:val="EndNoteBibliography"/>
        <w:ind w:left="720" w:hanging="720"/>
        <w:rPr>
          <w:noProof/>
        </w:rPr>
      </w:pPr>
      <w:r w:rsidRPr="00EE0ADE">
        <w:rPr>
          <w:noProof/>
        </w:rPr>
        <w:t>Saper CB. 2005. An open letter to our readers on the use of antibodies.</w:t>
      </w:r>
      <w:r w:rsidRPr="00EE0ADE">
        <w:rPr>
          <w:i/>
          <w:noProof/>
        </w:rPr>
        <w:t xml:space="preserve"> The Journal of Comparative Neurology</w:t>
      </w:r>
      <w:r w:rsidRPr="00EE0ADE">
        <w:rPr>
          <w:noProof/>
        </w:rPr>
        <w:t xml:space="preserve"> 493:477-478. 10.1002/cne.20839</w:t>
      </w:r>
    </w:p>
    <w:p w14:paraId="532A6C0E" w14:textId="77777777" w:rsidR="00EE0ADE" w:rsidRPr="00EE0ADE" w:rsidRDefault="00EE0ADE" w:rsidP="00EE0ADE">
      <w:pPr>
        <w:pStyle w:val="EndNoteBibliography"/>
        <w:ind w:left="720" w:hanging="720"/>
        <w:rPr>
          <w:noProof/>
        </w:rPr>
      </w:pPr>
      <w:r w:rsidRPr="00EE0ADE">
        <w:rPr>
          <w:noProof/>
        </w:rPr>
        <w:t>Saper CB, and Sawchenko PE. 2003. Magic peptides, magic antibodies: guidelines for appropriate controls for immunohistochemistry.</w:t>
      </w:r>
      <w:r w:rsidRPr="00EE0ADE">
        <w:rPr>
          <w:i/>
          <w:noProof/>
        </w:rPr>
        <w:t xml:space="preserve"> Journal of Comparative Neurology</w:t>
      </w:r>
      <w:r w:rsidRPr="00EE0ADE">
        <w:rPr>
          <w:noProof/>
        </w:rPr>
        <w:t xml:space="preserve"> 465:161-163. </w:t>
      </w:r>
    </w:p>
    <w:p w14:paraId="1CA268AB" w14:textId="5D13943A" w:rsidR="002324F9" w:rsidRPr="002324F9" w:rsidRDefault="002762F8" w:rsidP="002762F8">
      <w:pPr>
        <w:rPr>
          <w:i/>
          <w:iCs/>
          <w:lang w:val="en-US"/>
        </w:rPr>
      </w:pPr>
      <w:r>
        <w:rPr>
          <w:i/>
          <w:iCs/>
          <w:lang w:val="en-US"/>
        </w:rPr>
        <w:fldChar w:fldCharType="end"/>
      </w:r>
    </w:p>
    <w:sectPr w:rsidR="002324F9" w:rsidRPr="002324F9" w:rsidSect="000C703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0C55A" w14:textId="77777777" w:rsidR="006B3EC1" w:rsidRDefault="006B3EC1" w:rsidP="006B3EC1">
      <w:r>
        <w:separator/>
      </w:r>
    </w:p>
  </w:endnote>
  <w:endnote w:type="continuationSeparator" w:id="0">
    <w:p w14:paraId="43C635D9" w14:textId="77777777" w:rsidR="006B3EC1" w:rsidRDefault="006B3EC1" w:rsidP="006B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7377233"/>
      <w:docPartObj>
        <w:docPartGallery w:val="Page Numbers (Bottom of Page)"/>
        <w:docPartUnique/>
      </w:docPartObj>
    </w:sdtPr>
    <w:sdtContent>
      <w:p w14:paraId="38FD53E1" w14:textId="133A400D" w:rsidR="006B3EC1" w:rsidRDefault="006B3EC1" w:rsidP="003F3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37E34" w14:textId="77777777" w:rsidR="006B3EC1" w:rsidRDefault="006B3EC1" w:rsidP="006B3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7039477"/>
      <w:docPartObj>
        <w:docPartGallery w:val="Page Numbers (Bottom of Page)"/>
        <w:docPartUnique/>
      </w:docPartObj>
    </w:sdtPr>
    <w:sdtContent>
      <w:p w14:paraId="1D7F7E26" w14:textId="66CA27BE" w:rsidR="006B3EC1" w:rsidRDefault="006B3EC1" w:rsidP="003F3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B87578" w14:textId="77777777" w:rsidR="006B3EC1" w:rsidRDefault="006B3EC1" w:rsidP="006B3E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65E6" w14:textId="77777777" w:rsidR="006B3EC1" w:rsidRDefault="006B3EC1" w:rsidP="006B3EC1">
      <w:r>
        <w:separator/>
      </w:r>
    </w:p>
  </w:footnote>
  <w:footnote w:type="continuationSeparator" w:id="0">
    <w:p w14:paraId="35AFA6A2" w14:textId="77777777" w:rsidR="006B3EC1" w:rsidRDefault="006B3EC1" w:rsidP="006B3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494F"/>
    <w:multiLevelType w:val="multilevel"/>
    <w:tmpl w:val="37A4E22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lvlText w:val=""/>
      <w:lvlJc w:val="left"/>
      <w:pPr>
        <w:ind w:left="0" w:hanging="432"/>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2z0aw9wfta05e2a0s5wzah2eawzfx92wzt&quot;&gt;My EndNote Library&lt;record-ids&gt;&lt;item&gt;14&lt;/item&gt;&lt;item&gt;67&lt;/item&gt;&lt;item&gt;88&lt;/item&gt;&lt;item&gt;173&lt;/item&gt;&lt;item&gt;174&lt;/item&gt;&lt;/record-ids&gt;&lt;/item&gt;&lt;/Libraries&gt;"/>
  </w:docVars>
  <w:rsids>
    <w:rsidRoot w:val="001E4393"/>
    <w:rsid w:val="00022628"/>
    <w:rsid w:val="000C7033"/>
    <w:rsid w:val="00183103"/>
    <w:rsid w:val="001E4393"/>
    <w:rsid w:val="002324F9"/>
    <w:rsid w:val="002762F8"/>
    <w:rsid w:val="004E37BD"/>
    <w:rsid w:val="00532905"/>
    <w:rsid w:val="006B3EC1"/>
    <w:rsid w:val="009E6F76"/>
    <w:rsid w:val="00A82CF0"/>
    <w:rsid w:val="00D3412C"/>
    <w:rsid w:val="00EE0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1D5A85"/>
  <w15:chartTrackingRefBased/>
  <w15:docId w15:val="{A1F0EF28-A05F-4C45-ADAA-9CA4A02C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ADE"/>
    <w:pPr>
      <w:keepNext/>
      <w:keepLines/>
      <w:numPr>
        <w:numId w:val="1"/>
      </w:numPr>
      <w:spacing w:before="480" w:line="276" w:lineRule="auto"/>
      <w:ind w:left="432"/>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EE0ADE"/>
    <w:pPr>
      <w:keepNext/>
      <w:keepLines/>
      <w:numPr>
        <w:ilvl w:val="1"/>
        <w:numId w:val="1"/>
      </w:numPr>
      <w:spacing w:before="200" w:line="276" w:lineRule="auto"/>
      <w:outlineLvl w:val="1"/>
    </w:pPr>
    <w:rPr>
      <w:rFonts w:asciiTheme="majorHAnsi" w:eastAsiaTheme="majorEastAsia" w:hAnsiTheme="majorHAnsi" w:cstheme="majorBidi"/>
      <w:b/>
      <w:bCs/>
      <w:color w:val="404040" w:themeColor="text1" w:themeTint="BF"/>
      <w:sz w:val="26"/>
      <w:szCs w:val="26"/>
      <w:lang w:val="en-US"/>
    </w:rPr>
  </w:style>
  <w:style w:type="paragraph" w:styleId="Heading3">
    <w:name w:val="heading 3"/>
    <w:basedOn w:val="Normal"/>
    <w:next w:val="Normal"/>
    <w:link w:val="Heading3Char"/>
    <w:uiPriority w:val="9"/>
    <w:unhideWhenUsed/>
    <w:qFormat/>
    <w:rsid w:val="00EE0ADE"/>
    <w:pPr>
      <w:keepNext/>
      <w:keepLines/>
      <w:numPr>
        <w:ilvl w:val="2"/>
        <w:numId w:val="1"/>
      </w:numPr>
      <w:spacing w:before="200" w:line="276" w:lineRule="auto"/>
      <w:outlineLvl w:val="2"/>
    </w:pPr>
    <w:rPr>
      <w:rFonts w:asciiTheme="majorHAnsi" w:eastAsiaTheme="majorEastAsia" w:hAnsiTheme="majorHAnsi" w:cstheme="majorBidi"/>
      <w:b/>
      <w:bCs/>
      <w:color w:val="404040" w:themeColor="text1" w:themeTint="BF"/>
      <w:sz w:val="22"/>
      <w:szCs w:val="22"/>
      <w:lang w:val="en-US"/>
    </w:rPr>
  </w:style>
  <w:style w:type="paragraph" w:styleId="Heading4">
    <w:name w:val="heading 4"/>
    <w:basedOn w:val="Normal"/>
    <w:next w:val="Normal"/>
    <w:link w:val="Heading4Char"/>
    <w:uiPriority w:val="9"/>
    <w:unhideWhenUsed/>
    <w:qFormat/>
    <w:rsid w:val="00EE0ADE"/>
    <w:pPr>
      <w:keepNext/>
      <w:keepLines/>
      <w:numPr>
        <w:ilvl w:val="3"/>
        <w:numId w:val="1"/>
      </w:numPr>
      <w:spacing w:before="200" w:line="276" w:lineRule="auto"/>
      <w:outlineLvl w:val="3"/>
    </w:pPr>
    <w:rPr>
      <w:rFonts w:asciiTheme="majorHAnsi" w:eastAsiaTheme="majorEastAsia" w:hAnsiTheme="majorHAnsi" w:cstheme="majorBidi"/>
      <w:bCs/>
      <w:iCs/>
      <w:color w:val="404040" w:themeColor="text1" w:themeTint="BF"/>
      <w:sz w:val="22"/>
      <w:szCs w:val="22"/>
      <w:u w:val="single"/>
      <w:lang w:val="en-US"/>
    </w:rPr>
  </w:style>
  <w:style w:type="paragraph" w:styleId="Heading6">
    <w:name w:val="heading 6"/>
    <w:basedOn w:val="Normal"/>
    <w:next w:val="Normal"/>
    <w:link w:val="Heading6Char"/>
    <w:uiPriority w:val="9"/>
    <w:unhideWhenUsed/>
    <w:qFormat/>
    <w:rsid w:val="00EE0ADE"/>
    <w:pPr>
      <w:keepNext/>
      <w:keepLines/>
      <w:numPr>
        <w:ilvl w:val="5"/>
        <w:numId w:val="1"/>
      </w:numPr>
      <w:spacing w:before="200" w:line="276" w:lineRule="auto"/>
      <w:outlineLvl w:val="5"/>
    </w:pPr>
    <w:rPr>
      <w:rFonts w:asciiTheme="majorHAnsi" w:eastAsiaTheme="majorEastAsia" w:hAnsiTheme="majorHAnsi" w:cstheme="majorBidi"/>
      <w:i/>
      <w:iCs/>
      <w:color w:val="404040" w:themeColor="text1" w:themeTint="BF"/>
      <w:sz w:val="22"/>
      <w:szCs w:val="22"/>
      <w:lang w:val="en-US"/>
    </w:rPr>
  </w:style>
  <w:style w:type="paragraph" w:styleId="Heading7">
    <w:name w:val="heading 7"/>
    <w:basedOn w:val="Normal"/>
    <w:next w:val="Normal"/>
    <w:link w:val="Heading7Char"/>
    <w:uiPriority w:val="9"/>
    <w:semiHidden/>
    <w:unhideWhenUsed/>
    <w:qFormat/>
    <w:rsid w:val="00EE0AD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EE0AD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E0AD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6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628"/>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02262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22628"/>
    <w:rPr>
      <w:rFonts w:ascii="Calibri" w:hAnsi="Calibri" w:cs="Calibri"/>
      <w:lang w:val="en-US"/>
    </w:rPr>
  </w:style>
  <w:style w:type="paragraph" w:customStyle="1" w:styleId="EndNoteBibliography">
    <w:name w:val="EndNote Bibliography"/>
    <w:basedOn w:val="Normal"/>
    <w:link w:val="EndNoteBibliographyChar"/>
    <w:rsid w:val="00022628"/>
    <w:rPr>
      <w:rFonts w:ascii="Calibri" w:hAnsi="Calibri" w:cs="Calibri"/>
      <w:lang w:val="en-US"/>
    </w:rPr>
  </w:style>
  <w:style w:type="character" w:customStyle="1" w:styleId="EndNoteBibliographyChar">
    <w:name w:val="EndNote Bibliography Char"/>
    <w:basedOn w:val="DefaultParagraphFont"/>
    <w:link w:val="EndNoteBibliography"/>
    <w:rsid w:val="00022628"/>
    <w:rPr>
      <w:rFonts w:ascii="Calibri" w:hAnsi="Calibri" w:cs="Calibri"/>
      <w:lang w:val="en-US"/>
    </w:rPr>
  </w:style>
  <w:style w:type="character" w:styleId="Hyperlink">
    <w:name w:val="Hyperlink"/>
    <w:basedOn w:val="DefaultParagraphFont"/>
    <w:uiPriority w:val="99"/>
    <w:unhideWhenUsed/>
    <w:rsid w:val="00022628"/>
    <w:rPr>
      <w:color w:val="0563C1" w:themeColor="hyperlink"/>
      <w:u w:val="single"/>
    </w:rPr>
  </w:style>
  <w:style w:type="character" w:styleId="UnresolvedMention">
    <w:name w:val="Unresolved Mention"/>
    <w:basedOn w:val="DefaultParagraphFont"/>
    <w:uiPriority w:val="99"/>
    <w:semiHidden/>
    <w:unhideWhenUsed/>
    <w:rsid w:val="00022628"/>
    <w:rPr>
      <w:color w:val="605E5C"/>
      <w:shd w:val="clear" w:color="auto" w:fill="E1DFDD"/>
    </w:rPr>
  </w:style>
  <w:style w:type="character" w:customStyle="1" w:styleId="Heading1Char">
    <w:name w:val="Heading 1 Char"/>
    <w:basedOn w:val="DefaultParagraphFont"/>
    <w:link w:val="Heading1"/>
    <w:uiPriority w:val="9"/>
    <w:rsid w:val="00EE0ADE"/>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EE0ADE"/>
    <w:rPr>
      <w:rFonts w:asciiTheme="majorHAnsi" w:eastAsiaTheme="majorEastAsia" w:hAnsiTheme="majorHAnsi" w:cstheme="majorBidi"/>
      <w:b/>
      <w:bCs/>
      <w:color w:val="404040" w:themeColor="text1" w:themeTint="BF"/>
      <w:sz w:val="26"/>
      <w:szCs w:val="26"/>
      <w:lang w:val="en-US"/>
    </w:rPr>
  </w:style>
  <w:style w:type="character" w:customStyle="1" w:styleId="Heading3Char">
    <w:name w:val="Heading 3 Char"/>
    <w:basedOn w:val="DefaultParagraphFont"/>
    <w:link w:val="Heading3"/>
    <w:uiPriority w:val="9"/>
    <w:rsid w:val="00EE0ADE"/>
    <w:rPr>
      <w:rFonts w:asciiTheme="majorHAnsi" w:eastAsiaTheme="majorEastAsia" w:hAnsiTheme="majorHAnsi" w:cstheme="majorBidi"/>
      <w:b/>
      <w:bCs/>
      <w:color w:val="404040" w:themeColor="text1" w:themeTint="BF"/>
      <w:sz w:val="22"/>
      <w:szCs w:val="22"/>
      <w:lang w:val="en-US"/>
    </w:rPr>
  </w:style>
  <w:style w:type="character" w:customStyle="1" w:styleId="Heading4Char">
    <w:name w:val="Heading 4 Char"/>
    <w:basedOn w:val="DefaultParagraphFont"/>
    <w:link w:val="Heading4"/>
    <w:uiPriority w:val="9"/>
    <w:rsid w:val="00EE0ADE"/>
    <w:rPr>
      <w:rFonts w:asciiTheme="majorHAnsi" w:eastAsiaTheme="majorEastAsia" w:hAnsiTheme="majorHAnsi" w:cstheme="majorBidi"/>
      <w:bCs/>
      <w:iCs/>
      <w:color w:val="404040" w:themeColor="text1" w:themeTint="BF"/>
      <w:sz w:val="22"/>
      <w:szCs w:val="22"/>
      <w:u w:val="single"/>
      <w:lang w:val="en-US"/>
    </w:rPr>
  </w:style>
  <w:style w:type="character" w:customStyle="1" w:styleId="Heading6Char">
    <w:name w:val="Heading 6 Char"/>
    <w:basedOn w:val="DefaultParagraphFont"/>
    <w:link w:val="Heading6"/>
    <w:uiPriority w:val="9"/>
    <w:rsid w:val="00EE0ADE"/>
    <w:rPr>
      <w:rFonts w:asciiTheme="majorHAnsi" w:eastAsiaTheme="majorEastAsia" w:hAnsiTheme="majorHAnsi" w:cstheme="majorBidi"/>
      <w:i/>
      <w:iCs/>
      <w:color w:val="404040" w:themeColor="text1" w:themeTint="BF"/>
      <w:sz w:val="22"/>
      <w:szCs w:val="22"/>
      <w:lang w:val="en-US"/>
    </w:rPr>
  </w:style>
  <w:style w:type="character" w:customStyle="1" w:styleId="Heading7Char">
    <w:name w:val="Heading 7 Char"/>
    <w:basedOn w:val="DefaultParagraphFont"/>
    <w:link w:val="Heading7"/>
    <w:uiPriority w:val="9"/>
    <w:semiHidden/>
    <w:rsid w:val="00EE0AD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EE0AD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E0ADE"/>
    <w:rPr>
      <w:rFonts w:asciiTheme="majorHAnsi" w:eastAsiaTheme="majorEastAsia" w:hAnsiTheme="majorHAnsi" w:cstheme="majorBidi"/>
      <w:i/>
      <w:iCs/>
      <w:color w:val="404040" w:themeColor="text1" w:themeTint="BF"/>
      <w:sz w:val="20"/>
      <w:szCs w:val="20"/>
      <w:lang w:val="en-US"/>
    </w:rPr>
  </w:style>
  <w:style w:type="paragraph" w:styleId="NoSpacing">
    <w:name w:val="No Spacing"/>
    <w:link w:val="NoSpacingChar"/>
    <w:uiPriority w:val="1"/>
    <w:qFormat/>
    <w:rsid w:val="00EE0ADE"/>
    <w:rPr>
      <w:sz w:val="22"/>
      <w:szCs w:val="22"/>
      <w:lang w:val="en-US"/>
    </w:rPr>
  </w:style>
  <w:style w:type="character" w:customStyle="1" w:styleId="NoSpacingChar">
    <w:name w:val="No Spacing Char"/>
    <w:basedOn w:val="DefaultParagraphFont"/>
    <w:link w:val="NoSpacing"/>
    <w:uiPriority w:val="1"/>
    <w:rsid w:val="00EE0ADE"/>
    <w:rPr>
      <w:sz w:val="22"/>
      <w:szCs w:val="22"/>
      <w:lang w:val="en-US"/>
    </w:rPr>
  </w:style>
  <w:style w:type="paragraph" w:styleId="Footer">
    <w:name w:val="footer"/>
    <w:basedOn w:val="Normal"/>
    <w:link w:val="FooterChar"/>
    <w:uiPriority w:val="99"/>
    <w:unhideWhenUsed/>
    <w:rsid w:val="006B3EC1"/>
    <w:pPr>
      <w:tabs>
        <w:tab w:val="center" w:pos="4536"/>
        <w:tab w:val="right" w:pos="9072"/>
      </w:tabs>
    </w:pPr>
  </w:style>
  <w:style w:type="character" w:customStyle="1" w:styleId="FooterChar">
    <w:name w:val="Footer Char"/>
    <w:basedOn w:val="DefaultParagraphFont"/>
    <w:link w:val="Footer"/>
    <w:uiPriority w:val="99"/>
    <w:rsid w:val="006B3EC1"/>
  </w:style>
  <w:style w:type="character" w:styleId="PageNumber">
    <w:name w:val="page number"/>
    <w:basedOn w:val="DefaultParagraphFont"/>
    <w:uiPriority w:val="99"/>
    <w:semiHidden/>
    <w:unhideWhenUsed/>
    <w:rsid w:val="006B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Hoek</dc:creator>
  <cp:keywords/>
  <dc:description/>
  <cp:lastModifiedBy>Joyce Hoek</cp:lastModifiedBy>
  <cp:revision>5</cp:revision>
  <dcterms:created xsi:type="dcterms:W3CDTF">2019-12-15T19:39:00Z</dcterms:created>
  <dcterms:modified xsi:type="dcterms:W3CDTF">2019-12-15T19:51:00Z</dcterms:modified>
</cp:coreProperties>
</file>