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197" w:rsidRPr="00142197" w:rsidRDefault="005467AE" w:rsidP="0052159F">
      <w:pPr>
        <w:pStyle w:val="Heading1"/>
        <w:numPr>
          <w:ilvl w:val="0"/>
          <w:numId w:val="0"/>
        </w:numPr>
        <w:ind w:left="432" w:hanging="432"/>
      </w:pPr>
      <w:r>
        <w:t xml:space="preserve">1 - </w:t>
      </w:r>
      <w:r w:rsidR="00142197" w:rsidRPr="00142197">
        <w:t xml:space="preserve">Coding protocol </w:t>
      </w:r>
    </w:p>
    <w:p w:rsidR="006D2DB3" w:rsidRDefault="006D2DB3" w:rsidP="006D2DB3">
      <w:pPr>
        <w:pStyle w:val="NoSpacing"/>
        <w:jc w:val="both"/>
      </w:pPr>
    </w:p>
    <w:p w:rsidR="007A52D9" w:rsidRDefault="00035738" w:rsidP="00035738">
      <w:pPr>
        <w:pStyle w:val="NoSpacing"/>
        <w:jc w:val="both"/>
      </w:pPr>
      <w:r w:rsidRPr="00142197">
        <w:t>Validation information was collected from the sampled articles and all supplementary information</w:t>
      </w:r>
      <w:r w:rsidR="00F75068">
        <w:t xml:space="preserve"> (SI)</w:t>
      </w:r>
      <w:r w:rsidRPr="00142197">
        <w:t xml:space="preserve"> provided with these articles</w:t>
      </w:r>
      <w:r w:rsidR="005467AE">
        <w:t xml:space="preserve"> and then noted down in a table (</w:t>
      </w:r>
      <w:r w:rsidR="00425FB9">
        <w:t xml:space="preserve">see </w:t>
      </w:r>
      <w:r w:rsidR="00A51F85">
        <w:fldChar w:fldCharType="begin"/>
      </w:r>
      <w:r w:rsidR="005467AE">
        <w:instrText xml:space="preserve"> REF _Ref9502874 \h </w:instrText>
      </w:r>
      <w:r w:rsidR="00A51F85">
        <w:fldChar w:fldCharType="separate"/>
      </w:r>
      <w:r w:rsidR="007C3A18">
        <w:t>2 - Antibody validation coding table</w:t>
      </w:r>
      <w:r w:rsidR="00A51F85">
        <w:fldChar w:fldCharType="end"/>
      </w:r>
      <w:r w:rsidR="005467AE">
        <w:t>).</w:t>
      </w:r>
      <w:r w:rsidRPr="00142197">
        <w:t xml:space="preserve"> Vendor websites, antibody databases, or other </w:t>
      </w:r>
      <w:r>
        <w:t xml:space="preserve">secondary </w:t>
      </w:r>
      <w:r w:rsidRPr="00142197">
        <w:t>scientific literature w</w:t>
      </w:r>
      <w:r w:rsidR="00B37DD6">
        <w:t>ere</w:t>
      </w:r>
      <w:r w:rsidRPr="00142197">
        <w:t xml:space="preserve"> not used to further determine how well an antibody was validated. </w:t>
      </w:r>
      <w:r>
        <w:t>The scientific articles were used as the unit of analysis, not the antibodies. This means that t</w:t>
      </w:r>
      <w:r w:rsidRPr="00142197">
        <w:t xml:space="preserve">he reporting of antibody validation in the articles was coded per article and not separately for each antibody that was used in an article. </w:t>
      </w:r>
      <w:r w:rsidR="007214D0">
        <w:t>V</w:t>
      </w:r>
      <w:r w:rsidR="007214D0" w:rsidRPr="00142197">
        <w:t>alidation information was marked as being present</w:t>
      </w:r>
      <w:r w:rsidR="007214D0">
        <w:t xml:space="preserve"> i</w:t>
      </w:r>
      <w:r w:rsidRPr="00142197">
        <w:t>f the validity of at least one antibody in a paper could be established</w:t>
      </w:r>
      <w:r w:rsidR="007214D0">
        <w:t xml:space="preserve">. </w:t>
      </w:r>
    </w:p>
    <w:p w:rsidR="007A52D9" w:rsidRDefault="007A52D9" w:rsidP="00035738">
      <w:pPr>
        <w:pStyle w:val="NoSpacing"/>
        <w:jc w:val="both"/>
      </w:pPr>
    </w:p>
    <w:p w:rsidR="00035738" w:rsidRDefault="006D2DB3" w:rsidP="00035738">
      <w:pPr>
        <w:pStyle w:val="NoSpacing"/>
        <w:jc w:val="both"/>
      </w:pPr>
      <w:r w:rsidRPr="00142197">
        <w:t>A paper can describe the use of different methods of validation for the different antibodies that were used. In that case all different methods of validation used in the paper were noted. For example, a paper can cite the literature as proof of validation for one antibody and provide positive and negative controls for another antibody used. In this case, both methods of validation were noted. Furthermore, it was also noted if different methods of validation were used for different antibodies, if validation information was not reported for all antibodies, if multiple types of validation were used for one antibody, and if all primary antibodies had been validated. This was done to provide a more elaborate picture of how extensively validation was carried out.</w:t>
      </w:r>
    </w:p>
    <w:p w:rsidR="00035738" w:rsidRPr="00142197" w:rsidRDefault="00035738">
      <w:pPr>
        <w:rPr>
          <w:lang w:val="en-US"/>
        </w:rPr>
      </w:pPr>
    </w:p>
    <w:p w:rsidR="00035738" w:rsidRDefault="00142197" w:rsidP="00035738">
      <w:pPr>
        <w:pStyle w:val="NoSpacing"/>
        <w:jc w:val="both"/>
      </w:pPr>
      <w:r>
        <w:t>T</w:t>
      </w:r>
      <w:r w:rsidR="00F75068">
        <w:t>o extract the validation information, t</w:t>
      </w:r>
      <w:r>
        <w:t>he</w:t>
      </w:r>
      <w:r w:rsidRPr="00142197">
        <w:t xml:space="preserve"> articles as well as all </w:t>
      </w:r>
      <w:r w:rsidR="00F75068">
        <w:t>SI</w:t>
      </w:r>
      <w:r>
        <w:t xml:space="preserve"> and extra figures</w:t>
      </w:r>
      <w:r w:rsidRPr="00142197">
        <w:t xml:space="preserve"> were scanned using the word ‘anti‘ to find the sections where the use of antibodies is described. The papers were also scanned for use of the word ‘validation’ in relation to antibodies or words related to validation, such as ‘characterization’, ‘validate’, ‘specificity’ and ‘reliability’. </w:t>
      </w:r>
      <w:r>
        <w:t xml:space="preserve">Furthermore, all figures were checked for the use of antibodies, </w:t>
      </w:r>
      <w:r w:rsidR="00F75068">
        <w:t>because</w:t>
      </w:r>
      <w:r>
        <w:t xml:space="preserve"> </w:t>
      </w:r>
      <w:r w:rsidR="00F75068">
        <w:t>antibodies are sometimes used without being described in the caption of a figure</w:t>
      </w:r>
      <w:r>
        <w:t xml:space="preserve">. </w:t>
      </w:r>
      <w:r w:rsidRPr="00142197">
        <w:t xml:space="preserve">The antibody information found in these areas of the paper </w:t>
      </w:r>
      <w:r>
        <w:t>was then used to fill out the coding table. If the description of antibodies or the experiments was unclear</w:t>
      </w:r>
      <w:r w:rsidR="00035738">
        <w:t>,</w:t>
      </w:r>
      <w:r>
        <w:t xml:space="preserve"> additional parts of the paper were consulted, and in some cases the entire paper was read. </w:t>
      </w:r>
    </w:p>
    <w:p w:rsidR="00035738" w:rsidRDefault="00035738" w:rsidP="00035738">
      <w:pPr>
        <w:pStyle w:val="NoSpacing"/>
        <w:jc w:val="both"/>
      </w:pPr>
    </w:p>
    <w:p w:rsidR="00F75068" w:rsidRDefault="00CD655F" w:rsidP="00F75068">
      <w:pPr>
        <w:pStyle w:val="NoSpacing"/>
        <w:jc w:val="both"/>
      </w:pPr>
      <w:r>
        <w:t xml:space="preserve">Antibody validation was assessed by answering ‘yes’ or ‘no’ questions in a coding table. In case it was unclear a ‘?’ was filled </w:t>
      </w:r>
      <w:r w:rsidR="006D2DB3">
        <w:t>out</w:t>
      </w:r>
      <w:r>
        <w:t xml:space="preserve">, and in case the question was not applicable (for example the questions about type of validation when no antibodies were validated) ‘na’ was filled out. </w:t>
      </w:r>
      <w:r w:rsidR="00142197" w:rsidRPr="00142197">
        <w:t>When evaluating the articles, first, the question was answered whether the validity of at least one of the antibodies used could be established</w:t>
      </w:r>
      <w:r w:rsidR="00F75068">
        <w:t xml:space="preserve"> by reading the paper or SI</w:t>
      </w:r>
      <w:r w:rsidR="00142197" w:rsidRPr="00142197">
        <w:t>. Antibody validation can purposefully be carried out, meaning that experiments were carried out with the purpose of establishing the validity of an antibody. However, when evaluating the articles often the validity of an antibody could be established from the experiments it was used in</w:t>
      </w:r>
      <w:r w:rsidR="00035738">
        <w:t xml:space="preserve"> (for example when a wild type and knock out sample were both stained with the same antibody)</w:t>
      </w:r>
      <w:r w:rsidR="00142197" w:rsidRPr="00142197">
        <w:t>.</w:t>
      </w:r>
      <w:r w:rsidR="00F75068">
        <w:t xml:space="preserve"> No distinction was made between purposeful validation and possible ‘accidental’ validation, as we cannot know the intentions of the authors.</w:t>
      </w:r>
      <w:r w:rsidR="00142197" w:rsidRPr="00142197">
        <w:t xml:space="preserve"> In both cases the antibody (and thus the scientific article it was used in) was marked as being validated. </w:t>
      </w:r>
    </w:p>
    <w:p w:rsidR="00F75068" w:rsidRDefault="00F75068" w:rsidP="00F75068">
      <w:pPr>
        <w:pStyle w:val="NoSpacing"/>
        <w:jc w:val="both"/>
      </w:pPr>
    </w:p>
    <w:p w:rsidR="007214D0" w:rsidRDefault="00142197" w:rsidP="00F75068">
      <w:pPr>
        <w:pStyle w:val="NoSpacing"/>
        <w:jc w:val="both"/>
      </w:pPr>
      <w:r w:rsidRPr="00142197">
        <w:t xml:space="preserve">After this, the types of validation used in an article were assessed. </w:t>
      </w:r>
      <w:r w:rsidR="006D2DB3">
        <w:t xml:space="preserve">First, a distinction was made between validation carried by researchers themselves and validation carried out by third parties. In this last category, a distinction was made between </w:t>
      </w:r>
      <w:r w:rsidRPr="00142197">
        <w:t xml:space="preserve">validation by reference to the literature, </w:t>
      </w:r>
      <w:r w:rsidR="006D2DB3">
        <w:t xml:space="preserve">to </w:t>
      </w:r>
      <w:r w:rsidRPr="00142197">
        <w:t xml:space="preserve">information of the supplier, or </w:t>
      </w:r>
      <w:r w:rsidR="006D2DB3">
        <w:t xml:space="preserve">to </w:t>
      </w:r>
      <w:r w:rsidRPr="00142197">
        <w:t xml:space="preserve">information in online databases. </w:t>
      </w:r>
      <w:r w:rsidR="006D2DB3">
        <w:t xml:space="preserve">In these cases, the authors of an article explained that the antibody had previously been validated by this third party and/or provided a reference to where the antibody validation information could be found. </w:t>
      </w:r>
      <w:r w:rsidR="00885643">
        <w:t xml:space="preserve">The type of validation carried out by this third party </w:t>
      </w:r>
      <w:r w:rsidR="005F4054">
        <w:t>was</w:t>
      </w:r>
      <w:r w:rsidR="00885643">
        <w:t xml:space="preserve"> not further specified, but it can consist of any of the types of validation described in </w:t>
      </w:r>
      <w:r w:rsidR="00A51F85">
        <w:fldChar w:fldCharType="begin"/>
      </w:r>
      <w:r w:rsidR="005467AE">
        <w:instrText xml:space="preserve"> REF _Ref9502667 \h </w:instrText>
      </w:r>
      <w:r w:rsidR="00A51F85">
        <w:fldChar w:fldCharType="separate"/>
      </w:r>
      <w:r w:rsidR="005F4054">
        <w:t>Appendix 3 - Methods of antibody validation</w:t>
      </w:r>
      <w:r w:rsidR="00A51F85">
        <w:fldChar w:fldCharType="end"/>
      </w:r>
      <w:r w:rsidR="005467AE">
        <w:t xml:space="preserve">. </w:t>
      </w:r>
      <w:r w:rsidR="006D2DB3">
        <w:t xml:space="preserve"> </w:t>
      </w:r>
    </w:p>
    <w:p w:rsidR="007214D0" w:rsidRDefault="007214D0" w:rsidP="00F75068">
      <w:pPr>
        <w:pStyle w:val="NoSpacing"/>
        <w:jc w:val="both"/>
      </w:pPr>
    </w:p>
    <w:p w:rsidR="007F1D72" w:rsidRDefault="005467AE" w:rsidP="00F75068">
      <w:pPr>
        <w:pStyle w:val="NoSpacing"/>
        <w:jc w:val="both"/>
      </w:pPr>
      <w:r>
        <w:t>In contrast, the category ‘v</w:t>
      </w:r>
      <w:r w:rsidR="00142197" w:rsidRPr="00142197">
        <w:t>alidation by researchers themselves</w:t>
      </w:r>
      <w:r>
        <w:t>’</w:t>
      </w:r>
      <w:r w:rsidR="00142197" w:rsidRPr="00142197">
        <w:t xml:space="preserve"> was then further </w:t>
      </w:r>
      <w:r>
        <w:t xml:space="preserve">specified into </w:t>
      </w:r>
      <w:r w:rsidR="00142197" w:rsidRPr="00142197">
        <w:t>different methods of validation.</w:t>
      </w:r>
      <w:r w:rsidR="007A52D9">
        <w:t xml:space="preserve"> </w:t>
      </w:r>
      <w:r w:rsidR="00142197" w:rsidRPr="00142197">
        <w:t>These different categories of antibody validation were chosen after studying the literature on antibody validation, by performing coding trials to extract validation information from published articles, and by having conversations with scientists working frequently with antibodies.</w:t>
      </w:r>
      <w:r w:rsidR="00BF63A5">
        <w:t xml:space="preserve"> There might be some overlap in different validation methods. This is the case with the </w:t>
      </w:r>
      <w:r w:rsidR="00066023">
        <w:t>f</w:t>
      </w:r>
      <w:r w:rsidR="00BF63A5">
        <w:t xml:space="preserve">ive </w:t>
      </w:r>
      <w:r w:rsidR="00066023">
        <w:t>p</w:t>
      </w:r>
      <w:r w:rsidR="00BF63A5">
        <w:t>illar methods for example. When the method genetic strategies is used, this often means that a positive and negative control were used. Another example could be orthogonal strategies, which could mean that RNA based methods were used. In these cases, all methods are written down.</w:t>
      </w:r>
      <w:r w:rsidR="000C0846">
        <w:t xml:space="preserve"> Section</w:t>
      </w:r>
      <w:r w:rsidR="00BF63A5">
        <w:t xml:space="preserve"> </w:t>
      </w:r>
      <w:r w:rsidR="00A51F85">
        <w:fldChar w:fldCharType="begin"/>
      </w:r>
      <w:r>
        <w:instrText xml:space="preserve"> REF _Ref9502667 \h </w:instrText>
      </w:r>
      <w:r w:rsidR="00A51F85">
        <w:fldChar w:fldCharType="separate"/>
      </w:r>
      <w:r w:rsidR="00425FB9">
        <w:t>3 - Methods of antibody validation</w:t>
      </w:r>
      <w:r w:rsidR="00A51F85">
        <w:fldChar w:fldCharType="end"/>
      </w:r>
      <w:r w:rsidR="005F4054">
        <w:t xml:space="preserve"> </w:t>
      </w:r>
      <w:r w:rsidR="00885643">
        <w:t xml:space="preserve">provides a comprehensive list of types of validation. </w:t>
      </w:r>
      <w:r w:rsidR="000C0846">
        <w:t>Section</w:t>
      </w:r>
      <w:r w:rsidR="00A51F85">
        <w:fldChar w:fldCharType="begin"/>
      </w:r>
      <w:r>
        <w:instrText xml:space="preserve"> REF _Ref9502779 \h </w:instrText>
      </w:r>
      <w:r w:rsidR="00A51F85">
        <w:fldChar w:fldCharType="separate"/>
      </w:r>
      <w:r>
        <w:t xml:space="preserve"> 4 - Coding examples</w:t>
      </w:r>
      <w:r w:rsidR="00A51F85">
        <w:fldChar w:fldCharType="end"/>
      </w:r>
      <w:r>
        <w:t xml:space="preserve"> shows an example of how coding decisions were made with regard to antibody validation. </w:t>
      </w:r>
    </w:p>
    <w:p w:rsidR="007A52D9" w:rsidRDefault="007A52D9" w:rsidP="00F75068">
      <w:pPr>
        <w:pStyle w:val="NoSpacing"/>
        <w:jc w:val="both"/>
      </w:pPr>
    </w:p>
    <w:p w:rsidR="007A52D9" w:rsidRDefault="007A52D9" w:rsidP="007A52D9">
      <w:pPr>
        <w:pStyle w:val="NoSpacing"/>
        <w:jc w:val="both"/>
      </w:pPr>
      <w:r>
        <w:t xml:space="preserve">Apart from antibody validation, antibody information was also assessed. The </w:t>
      </w:r>
      <w:r w:rsidRPr="00142197">
        <w:t xml:space="preserve">basic antibody information </w:t>
      </w:r>
      <w:r>
        <w:t xml:space="preserve">for commercial antibodies </w:t>
      </w:r>
      <w:r w:rsidRPr="00142197">
        <w:t xml:space="preserve">was ranked as ‘complete’ if </w:t>
      </w:r>
      <w:r>
        <w:t>either an RRID or</w:t>
      </w:r>
      <w:r w:rsidRPr="00142197">
        <w:t xml:space="preserve"> the name, supplier and catalog number of all antibodies used in a study were reported.</w:t>
      </w:r>
      <w:r>
        <w:t xml:space="preserve"> For non-commercial antibodies either an RRID or the </w:t>
      </w:r>
      <w:r w:rsidRPr="00E16178">
        <w:t>host-animal</w:t>
      </w:r>
      <w:r>
        <w:t xml:space="preserve"> and</w:t>
      </w:r>
      <w:r w:rsidRPr="00E16178">
        <w:t xml:space="preserve"> immunogen</w:t>
      </w:r>
      <w:r>
        <w:t xml:space="preserve"> used needed to be reported. </w:t>
      </w:r>
      <w:r w:rsidRPr="00142197">
        <w:t xml:space="preserve">If a paper only provides these characteristics of some antibodies and not of others, the antibody information of the paper was not considered to be complete. </w:t>
      </w:r>
    </w:p>
    <w:p w:rsidR="007F1D72" w:rsidRDefault="007F1D72" w:rsidP="007A52D9">
      <w:pPr>
        <w:pStyle w:val="NoSpacing"/>
        <w:jc w:val="both"/>
      </w:pPr>
    </w:p>
    <w:p w:rsidR="007F1D72" w:rsidRDefault="007F1D72" w:rsidP="007A52D9">
      <w:pPr>
        <w:pStyle w:val="NoSpacing"/>
        <w:jc w:val="both"/>
      </w:pPr>
      <w:r>
        <w:t xml:space="preserve">In case there was doubt while filling in the coding table, decisions were always made that would be most favorable to the article. </w:t>
      </w:r>
      <w:r w:rsidR="0065530E">
        <w:t>Examples could be doubt about if</w:t>
      </w:r>
      <w:r>
        <w:t xml:space="preserve"> an antibody was validated or no</w:t>
      </w:r>
      <w:r w:rsidR="0065530E">
        <w:t>t or doubt about</w:t>
      </w:r>
      <w:r>
        <w:t xml:space="preserve"> how many antibodies were validated. </w:t>
      </w:r>
      <w:r w:rsidR="0065530E">
        <w:t xml:space="preserve">In the latter case, the highest number would be written down to give the article the benefit of the doubt. </w:t>
      </w:r>
      <w:r w:rsidR="00F76DB8">
        <w:t xml:space="preserve">Any doubts or unusual observations were explained in the ‘comments’ section of the table. </w:t>
      </w:r>
      <w:r w:rsidR="0065530E">
        <w:t xml:space="preserve"> </w:t>
      </w:r>
    </w:p>
    <w:p w:rsidR="0052159F" w:rsidRPr="005F4054" w:rsidRDefault="0052159F" w:rsidP="0052159F">
      <w:pPr>
        <w:rPr>
          <w:rFonts w:asciiTheme="majorHAnsi" w:eastAsiaTheme="majorEastAsia" w:hAnsiTheme="majorHAnsi" w:cstheme="majorBidi"/>
          <w:b/>
          <w:bCs/>
          <w:sz w:val="28"/>
          <w:szCs w:val="28"/>
          <w:lang w:val="en-US"/>
        </w:rPr>
      </w:pPr>
      <w:bookmarkStart w:id="0" w:name="_Ref513126793"/>
      <w:bookmarkStart w:id="1" w:name="_Toc532464317"/>
      <w:r w:rsidRPr="0052159F">
        <w:rPr>
          <w:lang w:val="en-US"/>
        </w:rPr>
        <w:br/>
      </w:r>
    </w:p>
    <w:p w:rsidR="0052159F" w:rsidRDefault="0052159F">
      <w:pPr>
        <w:rPr>
          <w:rFonts w:asciiTheme="majorHAnsi" w:eastAsiaTheme="majorEastAsia" w:hAnsiTheme="majorHAnsi" w:cstheme="majorBidi"/>
          <w:b/>
          <w:bCs/>
          <w:sz w:val="28"/>
          <w:szCs w:val="28"/>
          <w:lang w:val="en-US"/>
        </w:rPr>
      </w:pPr>
      <w:r w:rsidRPr="0052159F">
        <w:rPr>
          <w:lang w:val="en-US"/>
        </w:rPr>
        <w:br w:type="page"/>
      </w:r>
    </w:p>
    <w:p w:rsidR="00382745" w:rsidRDefault="005F4054" w:rsidP="00382745">
      <w:pPr>
        <w:pStyle w:val="Heading1"/>
        <w:numPr>
          <w:ilvl w:val="0"/>
          <w:numId w:val="0"/>
        </w:numPr>
        <w:spacing w:line="240" w:lineRule="auto"/>
        <w:jc w:val="both"/>
      </w:pPr>
      <w:bookmarkStart w:id="2" w:name="_Ref9502874"/>
      <w:r>
        <w:lastRenderedPageBreak/>
        <w:t>2</w:t>
      </w:r>
      <w:r w:rsidR="005467AE">
        <w:t xml:space="preserve"> - </w:t>
      </w:r>
      <w:r w:rsidR="0052159F">
        <w:t>A</w:t>
      </w:r>
      <w:r w:rsidR="00382745">
        <w:t>ntibody validation coding table</w:t>
      </w:r>
      <w:bookmarkEnd w:id="0"/>
      <w:bookmarkEnd w:id="1"/>
      <w:bookmarkEnd w:id="2"/>
      <w:r w:rsidR="00382745">
        <w:t xml:space="preserve"> </w:t>
      </w:r>
    </w:p>
    <w:p w:rsidR="00382745" w:rsidRDefault="00382745" w:rsidP="00382745">
      <w:pPr>
        <w:rPr>
          <w:lang w:val="en-US"/>
        </w:rPr>
      </w:pPr>
    </w:p>
    <w:p w:rsidR="00382745" w:rsidRPr="00382745" w:rsidRDefault="00382745" w:rsidP="00382745">
      <w:pPr>
        <w:rPr>
          <w:lang w:val="en-US"/>
        </w:rPr>
      </w:pPr>
      <w:r>
        <w:rPr>
          <w:lang w:val="en-US"/>
        </w:rPr>
        <w:t>Questions were filled out with yes</w:t>
      </w:r>
      <w:r w:rsidR="00AE7F93">
        <w:rPr>
          <w:lang w:val="en-US"/>
        </w:rPr>
        <w:t xml:space="preserve"> (1)</w:t>
      </w:r>
      <w:r>
        <w:rPr>
          <w:lang w:val="en-US"/>
        </w:rPr>
        <w:t>, no</w:t>
      </w:r>
      <w:r w:rsidR="00AE7F93">
        <w:rPr>
          <w:lang w:val="en-US"/>
        </w:rPr>
        <w:t xml:space="preserve"> (0)</w:t>
      </w:r>
      <w:r>
        <w:rPr>
          <w:lang w:val="en-US"/>
        </w:rPr>
        <w:t>, not clear</w:t>
      </w:r>
      <w:r w:rsidR="00AE7F93">
        <w:rPr>
          <w:lang w:val="en-US"/>
        </w:rPr>
        <w:t xml:space="preserve"> (999)</w:t>
      </w:r>
      <w:r>
        <w:rPr>
          <w:lang w:val="en-US"/>
        </w:rPr>
        <w:t>, or not applicable</w:t>
      </w:r>
      <w:r w:rsidR="00AE7F93">
        <w:rPr>
          <w:lang w:val="en-US"/>
        </w:rPr>
        <w:t xml:space="preserve"> (9)</w:t>
      </w:r>
    </w:p>
    <w:tbl>
      <w:tblPr>
        <w:tblStyle w:val="GridTable1Light1"/>
        <w:tblW w:w="9724" w:type="dxa"/>
        <w:tblLayout w:type="fixed"/>
        <w:tblCellMar>
          <w:top w:w="29" w:type="dxa"/>
          <w:left w:w="115" w:type="dxa"/>
          <w:bottom w:w="29" w:type="dxa"/>
          <w:right w:w="115" w:type="dxa"/>
        </w:tblCellMar>
        <w:tblLook w:val="04A0" w:firstRow="1" w:lastRow="0" w:firstColumn="1" w:lastColumn="0" w:noHBand="0" w:noVBand="1"/>
      </w:tblPr>
      <w:tblGrid>
        <w:gridCol w:w="1330"/>
        <w:gridCol w:w="3909"/>
        <w:gridCol w:w="4485"/>
      </w:tblGrid>
      <w:tr w:rsidR="00AE7F93" w:rsidRPr="002F608E" w:rsidTr="00BF63A5">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724" w:type="dxa"/>
            <w:gridSpan w:val="3"/>
            <w:tcBorders>
              <w:top w:val="nil"/>
              <w:left w:val="nil"/>
              <w:bottom w:val="nil"/>
              <w:right w:val="nil"/>
            </w:tcBorders>
          </w:tcPr>
          <w:p w:rsidR="00382745" w:rsidRPr="00AE7F93" w:rsidRDefault="00382745" w:rsidP="00BF63A5">
            <w:pPr>
              <w:pStyle w:val="Heading2"/>
              <w:numPr>
                <w:ilvl w:val="0"/>
                <w:numId w:val="0"/>
              </w:numPr>
              <w:ind w:left="576" w:hanging="576"/>
              <w:outlineLvl w:val="1"/>
              <w:rPr>
                <w:color w:val="000000" w:themeColor="text1"/>
              </w:rPr>
            </w:pPr>
            <w:bookmarkStart w:id="3" w:name="_Toc532464318"/>
            <w:r w:rsidRPr="00AE7F93">
              <w:rPr>
                <w:color w:val="000000" w:themeColor="text1"/>
              </w:rPr>
              <w:t>Part 1. Questions answered for all evaluated articles</w:t>
            </w:r>
            <w:bookmarkEnd w:id="3"/>
            <w:r w:rsidRPr="00AE7F93">
              <w:rPr>
                <w:color w:val="000000" w:themeColor="text1"/>
              </w:rPr>
              <w:t xml:space="preserve"> </w:t>
            </w:r>
          </w:p>
        </w:tc>
      </w:tr>
      <w:tr w:rsidR="00AE7F93" w:rsidRPr="00AE7F93" w:rsidTr="00BF63A5">
        <w:trPr>
          <w:trHeight w:val="296"/>
        </w:trPr>
        <w:tc>
          <w:tcPr>
            <w:cnfStyle w:val="001000000000" w:firstRow="0" w:lastRow="0" w:firstColumn="1" w:lastColumn="0" w:oddVBand="0" w:evenVBand="0" w:oddHBand="0" w:evenHBand="0" w:firstRowFirstColumn="0" w:firstRowLastColumn="0" w:lastRowFirstColumn="0" w:lastRowLastColumn="0"/>
            <w:tcW w:w="1330" w:type="dxa"/>
            <w:tcBorders>
              <w:top w:val="nil"/>
              <w:left w:val="nil"/>
              <w:bottom w:val="single" w:sz="12" w:space="0" w:color="666666" w:themeColor="text1" w:themeTint="99"/>
              <w:right w:val="nil"/>
            </w:tcBorders>
          </w:tcPr>
          <w:p w:rsidR="00382745" w:rsidRPr="00AE7F93" w:rsidRDefault="00382745" w:rsidP="00BF63A5">
            <w:pPr>
              <w:rPr>
                <w:color w:val="000000" w:themeColor="text1"/>
                <w:sz w:val="24"/>
                <w:szCs w:val="24"/>
              </w:rPr>
            </w:pPr>
            <w:r w:rsidRPr="00AE7F93">
              <w:rPr>
                <w:color w:val="000000" w:themeColor="text1"/>
                <w:sz w:val="24"/>
                <w:szCs w:val="24"/>
              </w:rPr>
              <w:t>Category</w:t>
            </w:r>
          </w:p>
        </w:tc>
        <w:tc>
          <w:tcPr>
            <w:tcW w:w="3909" w:type="dxa"/>
            <w:tcBorders>
              <w:top w:val="nil"/>
              <w:left w:val="nil"/>
              <w:bottom w:val="single" w:sz="12" w:space="0" w:color="666666" w:themeColor="text1" w:themeTint="99"/>
              <w:right w:val="nil"/>
            </w:tcBorders>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sidRPr="00AE7F93">
              <w:rPr>
                <w:b/>
                <w:color w:val="000000" w:themeColor="text1"/>
                <w:sz w:val="24"/>
                <w:szCs w:val="24"/>
              </w:rPr>
              <w:t xml:space="preserve">Question about article </w:t>
            </w:r>
          </w:p>
        </w:tc>
        <w:tc>
          <w:tcPr>
            <w:tcW w:w="4484" w:type="dxa"/>
            <w:tcBorders>
              <w:top w:val="nil"/>
              <w:left w:val="nil"/>
              <w:bottom w:val="single" w:sz="12" w:space="0" w:color="666666" w:themeColor="text1" w:themeTint="99"/>
              <w:right w:val="nil"/>
            </w:tcBorders>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sidRPr="00AE7F93">
              <w:rPr>
                <w:b/>
                <w:color w:val="000000" w:themeColor="text1"/>
                <w:sz w:val="24"/>
                <w:szCs w:val="24"/>
              </w:rPr>
              <w:t xml:space="preserve">Further explanation </w:t>
            </w:r>
          </w:p>
        </w:tc>
      </w:tr>
      <w:tr w:rsidR="00AE7F93" w:rsidRPr="00AE7F93" w:rsidTr="00BF63A5">
        <w:trPr>
          <w:trHeight w:val="296"/>
        </w:trPr>
        <w:tc>
          <w:tcPr>
            <w:cnfStyle w:val="001000000000" w:firstRow="0" w:lastRow="0" w:firstColumn="1" w:lastColumn="0" w:oddVBand="0" w:evenVBand="0" w:oddHBand="0" w:evenHBand="0" w:firstRowFirstColumn="0" w:firstRowLastColumn="0" w:lastRowFirstColumn="0" w:lastRowLastColumn="0"/>
            <w:tcW w:w="1330" w:type="dxa"/>
            <w:vMerge w:val="restart"/>
            <w:tcBorders>
              <w:top w:val="single" w:sz="12" w:space="0" w:color="666666" w:themeColor="text1" w:themeTint="99"/>
              <w:left w:val="nil"/>
              <w:right w:val="nil"/>
            </w:tcBorders>
            <w:shd w:val="clear" w:color="auto" w:fill="F2F2F2" w:themeFill="background1" w:themeFillShade="F2"/>
          </w:tcPr>
          <w:p w:rsidR="00382745" w:rsidRPr="00AE7F93" w:rsidRDefault="00382745" w:rsidP="00BF63A5">
            <w:pPr>
              <w:rPr>
                <w:color w:val="000000" w:themeColor="text1"/>
              </w:rPr>
            </w:pPr>
            <w:r w:rsidRPr="00AE7F93">
              <w:rPr>
                <w:color w:val="000000" w:themeColor="text1"/>
              </w:rPr>
              <w:t>Information article</w:t>
            </w:r>
          </w:p>
        </w:tc>
        <w:tc>
          <w:tcPr>
            <w:tcW w:w="3909" w:type="dxa"/>
            <w:tcBorders>
              <w:top w:val="single" w:sz="12" w:space="0" w:color="666666" w:themeColor="text1" w:themeTint="99"/>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DOI:</w:t>
            </w:r>
          </w:p>
        </w:tc>
        <w:tc>
          <w:tcPr>
            <w:tcW w:w="4484" w:type="dxa"/>
            <w:tcBorders>
              <w:top w:val="single" w:sz="12" w:space="0" w:color="666666" w:themeColor="text1" w:themeTint="99"/>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E7F93" w:rsidRPr="00AE7F93" w:rsidTr="00BF63A5">
        <w:trPr>
          <w:trHeight w:val="296"/>
        </w:trPr>
        <w:tc>
          <w:tcPr>
            <w:cnfStyle w:val="001000000000" w:firstRow="0" w:lastRow="0" w:firstColumn="1" w:lastColumn="0" w:oddVBand="0" w:evenVBand="0" w:oddHBand="0" w:evenHBand="0" w:firstRowFirstColumn="0" w:firstRowLastColumn="0" w:lastRowFirstColumn="0" w:lastRowLastColumn="0"/>
            <w:tcW w:w="1330" w:type="dxa"/>
            <w:vMerge/>
            <w:tcBorders>
              <w:left w:val="nil"/>
              <w:right w:val="nil"/>
            </w:tcBorders>
            <w:shd w:val="clear" w:color="auto" w:fill="F2F2F2" w:themeFill="background1" w:themeFillShade="F2"/>
          </w:tcPr>
          <w:p w:rsidR="00382745" w:rsidRPr="00AE7F93" w:rsidRDefault="00382745" w:rsidP="00BF63A5">
            <w:pPr>
              <w:rPr>
                <w:color w:val="000000" w:themeColor="text1"/>
              </w:rPr>
            </w:pPr>
          </w:p>
        </w:tc>
        <w:tc>
          <w:tcPr>
            <w:tcW w:w="3909" w:type="dxa"/>
            <w:tcBorders>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URL:</w:t>
            </w:r>
            <w:r w:rsidRPr="00AE7F93">
              <w:rPr>
                <w:color w:val="000000" w:themeColor="text1"/>
              </w:rPr>
              <w:tab/>
            </w:r>
          </w:p>
        </w:tc>
        <w:tc>
          <w:tcPr>
            <w:tcW w:w="4484"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E7F93" w:rsidRPr="00AE7F93" w:rsidTr="00BF63A5">
        <w:trPr>
          <w:trHeight w:val="296"/>
        </w:trPr>
        <w:tc>
          <w:tcPr>
            <w:cnfStyle w:val="001000000000" w:firstRow="0" w:lastRow="0" w:firstColumn="1" w:lastColumn="0" w:oddVBand="0" w:evenVBand="0" w:oddHBand="0" w:evenHBand="0" w:firstRowFirstColumn="0" w:firstRowLastColumn="0" w:lastRowFirstColumn="0" w:lastRowLastColumn="0"/>
            <w:tcW w:w="1330" w:type="dxa"/>
            <w:vMerge/>
            <w:tcBorders>
              <w:left w:val="nil"/>
              <w:right w:val="nil"/>
            </w:tcBorders>
            <w:shd w:val="clear" w:color="auto" w:fill="F2F2F2" w:themeFill="background1" w:themeFillShade="F2"/>
          </w:tcPr>
          <w:p w:rsidR="00382745" w:rsidRPr="00AE7F93" w:rsidRDefault="00382745" w:rsidP="00BF63A5">
            <w:pPr>
              <w:rPr>
                <w:color w:val="000000" w:themeColor="text1"/>
              </w:rPr>
            </w:pPr>
          </w:p>
        </w:tc>
        <w:tc>
          <w:tcPr>
            <w:tcW w:w="3909" w:type="dxa"/>
            <w:tcBorders>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Journal:</w:t>
            </w:r>
          </w:p>
        </w:tc>
        <w:tc>
          <w:tcPr>
            <w:tcW w:w="4484"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E7F93" w:rsidRPr="00AE7F93" w:rsidTr="00BF63A5">
        <w:trPr>
          <w:trHeight w:val="296"/>
        </w:trPr>
        <w:tc>
          <w:tcPr>
            <w:cnfStyle w:val="001000000000" w:firstRow="0" w:lastRow="0" w:firstColumn="1" w:lastColumn="0" w:oddVBand="0" w:evenVBand="0" w:oddHBand="0" w:evenHBand="0" w:firstRowFirstColumn="0" w:firstRowLastColumn="0" w:lastRowFirstColumn="0" w:lastRowLastColumn="0"/>
            <w:tcW w:w="1330" w:type="dxa"/>
            <w:vMerge/>
            <w:tcBorders>
              <w:left w:val="nil"/>
              <w:right w:val="nil"/>
            </w:tcBorders>
            <w:shd w:val="clear" w:color="auto" w:fill="F2F2F2" w:themeFill="background1" w:themeFillShade="F2"/>
          </w:tcPr>
          <w:p w:rsidR="00382745" w:rsidRPr="00AE7F93" w:rsidRDefault="00382745" w:rsidP="00BF63A5">
            <w:pPr>
              <w:rPr>
                <w:color w:val="000000" w:themeColor="text1"/>
              </w:rPr>
            </w:pPr>
          </w:p>
        </w:tc>
        <w:tc>
          <w:tcPr>
            <w:tcW w:w="3909" w:type="dxa"/>
            <w:tcBorders>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Times cited:</w:t>
            </w:r>
          </w:p>
        </w:tc>
        <w:tc>
          <w:tcPr>
            <w:tcW w:w="4484"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At date retrieval.</w:t>
            </w:r>
          </w:p>
        </w:tc>
      </w:tr>
      <w:tr w:rsidR="00AE7F93" w:rsidRPr="002F608E" w:rsidTr="00BF63A5">
        <w:trPr>
          <w:trHeight w:val="296"/>
        </w:trPr>
        <w:tc>
          <w:tcPr>
            <w:cnfStyle w:val="001000000000" w:firstRow="0" w:lastRow="0" w:firstColumn="1" w:lastColumn="0" w:oddVBand="0" w:evenVBand="0" w:oddHBand="0" w:evenHBand="0" w:firstRowFirstColumn="0" w:firstRowLastColumn="0" w:lastRowFirstColumn="0" w:lastRowLastColumn="0"/>
            <w:tcW w:w="1330" w:type="dxa"/>
            <w:vMerge/>
            <w:tcBorders>
              <w:left w:val="nil"/>
              <w:right w:val="nil"/>
            </w:tcBorders>
            <w:shd w:val="clear" w:color="auto" w:fill="F2F2F2" w:themeFill="background1" w:themeFillShade="F2"/>
          </w:tcPr>
          <w:p w:rsidR="00382745" w:rsidRPr="00AE7F93" w:rsidRDefault="00382745" w:rsidP="00BF63A5">
            <w:pPr>
              <w:rPr>
                <w:color w:val="000000" w:themeColor="text1"/>
              </w:rPr>
            </w:pPr>
          </w:p>
        </w:tc>
        <w:tc>
          <w:tcPr>
            <w:tcW w:w="3909" w:type="dxa"/>
            <w:tcBorders>
              <w:left w:val="nil"/>
              <w:bottom w:val="single" w:sz="4" w:space="0" w:color="999999" w:themeColor="text1" w:themeTint="66"/>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Date published:</w:t>
            </w:r>
          </w:p>
        </w:tc>
        <w:tc>
          <w:tcPr>
            <w:tcW w:w="4484" w:type="dxa"/>
            <w:tcBorders>
              <w:left w:val="nil"/>
              <w:bottom w:val="single" w:sz="4" w:space="0" w:color="999999" w:themeColor="text1" w:themeTint="66"/>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Date from Web of Science.</w:t>
            </w:r>
          </w:p>
        </w:tc>
      </w:tr>
      <w:tr w:rsidR="00AE7F93" w:rsidRPr="00AE7F93" w:rsidTr="00BF63A5">
        <w:trPr>
          <w:trHeight w:val="296"/>
        </w:trPr>
        <w:tc>
          <w:tcPr>
            <w:cnfStyle w:val="001000000000" w:firstRow="0" w:lastRow="0" w:firstColumn="1" w:lastColumn="0" w:oddVBand="0" w:evenVBand="0" w:oddHBand="0" w:evenHBand="0" w:firstRowFirstColumn="0" w:firstRowLastColumn="0" w:lastRowFirstColumn="0" w:lastRowLastColumn="0"/>
            <w:tcW w:w="1330" w:type="dxa"/>
            <w:vMerge/>
            <w:tcBorders>
              <w:left w:val="nil"/>
              <w:right w:val="nil"/>
            </w:tcBorders>
            <w:shd w:val="clear" w:color="auto" w:fill="F2F2F2" w:themeFill="background1" w:themeFillShade="F2"/>
          </w:tcPr>
          <w:p w:rsidR="00382745" w:rsidRPr="00AE7F93" w:rsidRDefault="00382745" w:rsidP="00BF63A5">
            <w:pPr>
              <w:rPr>
                <w:color w:val="000000" w:themeColor="text1"/>
              </w:rPr>
            </w:pPr>
          </w:p>
        </w:tc>
        <w:tc>
          <w:tcPr>
            <w:tcW w:w="3909" w:type="dxa"/>
            <w:tcBorders>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Date received:</w:t>
            </w:r>
          </w:p>
        </w:tc>
        <w:tc>
          <w:tcPr>
            <w:tcW w:w="4484"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Date from website article.</w:t>
            </w:r>
          </w:p>
        </w:tc>
      </w:tr>
      <w:tr w:rsidR="00AE7F93" w:rsidRPr="00AE7F93" w:rsidTr="00BF63A5">
        <w:trPr>
          <w:trHeight w:val="40"/>
        </w:trPr>
        <w:tc>
          <w:tcPr>
            <w:cnfStyle w:val="001000000000" w:firstRow="0" w:lastRow="0" w:firstColumn="1" w:lastColumn="0" w:oddVBand="0" w:evenVBand="0" w:oddHBand="0" w:evenHBand="0" w:firstRowFirstColumn="0" w:firstRowLastColumn="0" w:lastRowFirstColumn="0" w:lastRowLastColumn="0"/>
            <w:tcW w:w="1330" w:type="dxa"/>
            <w:tcBorders>
              <w:left w:val="nil"/>
              <w:right w:val="nil"/>
            </w:tcBorders>
            <w:shd w:val="clear" w:color="auto" w:fill="auto"/>
          </w:tcPr>
          <w:p w:rsidR="00382745" w:rsidRPr="00AE7F93" w:rsidRDefault="00382745" w:rsidP="00BF63A5">
            <w:pPr>
              <w:rPr>
                <w:color w:val="000000" w:themeColor="text1"/>
                <w:sz w:val="6"/>
                <w:szCs w:val="6"/>
              </w:rPr>
            </w:pPr>
          </w:p>
        </w:tc>
        <w:tc>
          <w:tcPr>
            <w:tcW w:w="3909" w:type="dxa"/>
            <w:tcBorders>
              <w:left w:val="nil"/>
              <w:right w:val="nil"/>
            </w:tcBorders>
            <w:shd w:val="clear" w:color="auto" w:fill="auto"/>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sz w:val="6"/>
                <w:szCs w:val="6"/>
              </w:rPr>
            </w:pPr>
          </w:p>
        </w:tc>
        <w:tc>
          <w:tcPr>
            <w:tcW w:w="4484" w:type="dxa"/>
            <w:tcBorders>
              <w:left w:val="nil"/>
              <w:right w:val="nil"/>
            </w:tcBorders>
            <w:shd w:val="clear" w:color="auto" w:fill="auto"/>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sz w:val="6"/>
                <w:szCs w:val="6"/>
              </w:rPr>
            </w:pPr>
          </w:p>
        </w:tc>
      </w:tr>
      <w:tr w:rsidR="00AE7F93" w:rsidRPr="002F608E" w:rsidTr="00BF63A5">
        <w:trPr>
          <w:trHeight w:val="296"/>
        </w:trPr>
        <w:tc>
          <w:tcPr>
            <w:cnfStyle w:val="001000000000" w:firstRow="0" w:lastRow="0" w:firstColumn="1" w:lastColumn="0" w:oddVBand="0" w:evenVBand="0" w:oddHBand="0" w:evenHBand="0" w:firstRowFirstColumn="0" w:firstRowLastColumn="0" w:lastRowFirstColumn="0" w:lastRowLastColumn="0"/>
            <w:tcW w:w="1330" w:type="dxa"/>
            <w:vMerge w:val="restart"/>
            <w:tcBorders>
              <w:left w:val="nil"/>
              <w:right w:val="nil"/>
            </w:tcBorders>
            <w:shd w:val="clear" w:color="auto" w:fill="F2F2F2" w:themeFill="background1" w:themeFillShade="F2"/>
          </w:tcPr>
          <w:p w:rsidR="00382745" w:rsidRPr="00AE7F93" w:rsidRDefault="00382745" w:rsidP="00BF63A5">
            <w:pPr>
              <w:rPr>
                <w:color w:val="000000" w:themeColor="text1"/>
              </w:rPr>
            </w:pPr>
            <w:r w:rsidRPr="00AE7F93">
              <w:rPr>
                <w:color w:val="000000" w:themeColor="text1"/>
              </w:rPr>
              <w:t>Antibody information</w:t>
            </w:r>
          </w:p>
        </w:tc>
        <w:tc>
          <w:tcPr>
            <w:tcW w:w="3909" w:type="dxa"/>
            <w:tcBorders>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Is a section devoted to antibodies present in the article?</w:t>
            </w:r>
          </w:p>
        </w:tc>
        <w:tc>
          <w:tcPr>
            <w:tcW w:w="4484"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If the word antibody is mentioned above a paragraph about antibodies, this question is answered with yes. E.g. the antibody section in Life Science Reporting Summary.</w:t>
            </w:r>
          </w:p>
        </w:tc>
      </w:tr>
      <w:tr w:rsidR="00AE7F93" w:rsidRPr="002F608E" w:rsidTr="00BF63A5">
        <w:trPr>
          <w:trHeight w:val="296"/>
        </w:trPr>
        <w:tc>
          <w:tcPr>
            <w:cnfStyle w:val="001000000000" w:firstRow="0" w:lastRow="0" w:firstColumn="1" w:lastColumn="0" w:oddVBand="0" w:evenVBand="0" w:oddHBand="0" w:evenHBand="0" w:firstRowFirstColumn="0" w:firstRowLastColumn="0" w:lastRowFirstColumn="0" w:lastRowLastColumn="0"/>
            <w:tcW w:w="1330" w:type="dxa"/>
            <w:vMerge/>
            <w:tcBorders>
              <w:left w:val="nil"/>
              <w:right w:val="nil"/>
            </w:tcBorders>
            <w:shd w:val="clear" w:color="auto" w:fill="F2F2F2" w:themeFill="background1" w:themeFillShade="F2"/>
          </w:tcPr>
          <w:p w:rsidR="00382745" w:rsidRPr="00AE7F93" w:rsidRDefault="00382745" w:rsidP="00BF63A5">
            <w:pPr>
              <w:rPr>
                <w:color w:val="000000" w:themeColor="text1"/>
              </w:rPr>
            </w:pPr>
          </w:p>
        </w:tc>
        <w:tc>
          <w:tcPr>
            <w:tcW w:w="3909" w:type="dxa"/>
            <w:tcBorders>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How many different antibodies are used?</w:t>
            </w:r>
          </w:p>
        </w:tc>
        <w:tc>
          <w:tcPr>
            <w:tcW w:w="4484"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 xml:space="preserve">Look at article and all its supporting information, extra figures, tables etc. </w:t>
            </w:r>
          </w:p>
        </w:tc>
      </w:tr>
      <w:tr w:rsidR="00AE7F93" w:rsidRPr="002F608E" w:rsidTr="00BF63A5">
        <w:trPr>
          <w:trHeight w:val="296"/>
        </w:trPr>
        <w:tc>
          <w:tcPr>
            <w:cnfStyle w:val="001000000000" w:firstRow="0" w:lastRow="0" w:firstColumn="1" w:lastColumn="0" w:oddVBand="0" w:evenVBand="0" w:oddHBand="0" w:evenHBand="0" w:firstRowFirstColumn="0" w:firstRowLastColumn="0" w:lastRowFirstColumn="0" w:lastRowLastColumn="0"/>
            <w:tcW w:w="1330" w:type="dxa"/>
            <w:vMerge/>
            <w:tcBorders>
              <w:left w:val="nil"/>
              <w:right w:val="nil"/>
            </w:tcBorders>
            <w:shd w:val="clear" w:color="auto" w:fill="F2F2F2" w:themeFill="background1" w:themeFillShade="F2"/>
          </w:tcPr>
          <w:p w:rsidR="00382745" w:rsidRPr="00AE7F93" w:rsidRDefault="00382745" w:rsidP="00BF63A5">
            <w:pPr>
              <w:rPr>
                <w:color w:val="000000" w:themeColor="text1"/>
              </w:rPr>
            </w:pPr>
          </w:p>
        </w:tc>
        <w:tc>
          <w:tcPr>
            <w:tcW w:w="3909" w:type="dxa"/>
            <w:tcBorders>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Which applications using antibodies are used?</w:t>
            </w:r>
          </w:p>
        </w:tc>
        <w:tc>
          <w:tcPr>
            <w:tcW w:w="4484"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E7F93" w:rsidRPr="00AE7F93" w:rsidTr="00BF63A5">
        <w:trPr>
          <w:trHeight w:val="296"/>
        </w:trPr>
        <w:tc>
          <w:tcPr>
            <w:cnfStyle w:val="001000000000" w:firstRow="0" w:lastRow="0" w:firstColumn="1" w:lastColumn="0" w:oddVBand="0" w:evenVBand="0" w:oddHBand="0" w:evenHBand="0" w:firstRowFirstColumn="0" w:firstRowLastColumn="0" w:lastRowFirstColumn="0" w:lastRowLastColumn="0"/>
            <w:tcW w:w="1330" w:type="dxa"/>
            <w:vMerge/>
            <w:tcBorders>
              <w:left w:val="nil"/>
              <w:right w:val="nil"/>
            </w:tcBorders>
            <w:shd w:val="clear" w:color="auto" w:fill="F2F2F2" w:themeFill="background1" w:themeFillShade="F2"/>
          </w:tcPr>
          <w:p w:rsidR="00382745" w:rsidRPr="00AE7F93" w:rsidRDefault="00382745" w:rsidP="00BF63A5">
            <w:pPr>
              <w:rPr>
                <w:color w:val="000000" w:themeColor="text1"/>
              </w:rPr>
            </w:pPr>
          </w:p>
        </w:tc>
        <w:tc>
          <w:tcPr>
            <w:tcW w:w="3909" w:type="dxa"/>
            <w:tcBorders>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Are commercial antibodies used?</w:t>
            </w:r>
          </w:p>
        </w:tc>
        <w:tc>
          <w:tcPr>
            <w:tcW w:w="4484"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E7F93" w:rsidRPr="002F608E" w:rsidTr="00BF63A5">
        <w:trPr>
          <w:trHeight w:val="296"/>
        </w:trPr>
        <w:tc>
          <w:tcPr>
            <w:cnfStyle w:val="001000000000" w:firstRow="0" w:lastRow="0" w:firstColumn="1" w:lastColumn="0" w:oddVBand="0" w:evenVBand="0" w:oddHBand="0" w:evenHBand="0" w:firstRowFirstColumn="0" w:firstRowLastColumn="0" w:lastRowFirstColumn="0" w:lastRowLastColumn="0"/>
            <w:tcW w:w="1330" w:type="dxa"/>
            <w:vMerge/>
            <w:tcBorders>
              <w:left w:val="nil"/>
              <w:right w:val="nil"/>
            </w:tcBorders>
            <w:shd w:val="clear" w:color="auto" w:fill="F2F2F2" w:themeFill="background1" w:themeFillShade="F2"/>
          </w:tcPr>
          <w:p w:rsidR="00382745" w:rsidRPr="00AE7F93" w:rsidRDefault="00382745" w:rsidP="00BF63A5">
            <w:pPr>
              <w:rPr>
                <w:color w:val="000000" w:themeColor="text1"/>
              </w:rPr>
            </w:pPr>
          </w:p>
        </w:tc>
        <w:tc>
          <w:tcPr>
            <w:tcW w:w="3909" w:type="dxa"/>
            <w:tcBorders>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Are antibodies used that are generated by the researchers themselves or obtained from other researchers?</w:t>
            </w:r>
          </w:p>
        </w:tc>
        <w:tc>
          <w:tcPr>
            <w:tcW w:w="4484"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E7F93" w:rsidRPr="002F608E" w:rsidTr="00BF63A5">
        <w:trPr>
          <w:trHeight w:val="296"/>
        </w:trPr>
        <w:tc>
          <w:tcPr>
            <w:cnfStyle w:val="001000000000" w:firstRow="0" w:lastRow="0" w:firstColumn="1" w:lastColumn="0" w:oddVBand="0" w:evenVBand="0" w:oddHBand="0" w:evenHBand="0" w:firstRowFirstColumn="0" w:firstRowLastColumn="0" w:lastRowFirstColumn="0" w:lastRowLastColumn="0"/>
            <w:tcW w:w="1330" w:type="dxa"/>
            <w:vMerge/>
            <w:tcBorders>
              <w:left w:val="nil"/>
              <w:right w:val="nil"/>
            </w:tcBorders>
            <w:shd w:val="clear" w:color="auto" w:fill="F2F2F2" w:themeFill="background1" w:themeFillShade="F2"/>
          </w:tcPr>
          <w:p w:rsidR="00382745" w:rsidRPr="00AE7F93" w:rsidRDefault="00382745" w:rsidP="00BF63A5">
            <w:pPr>
              <w:rPr>
                <w:color w:val="000000" w:themeColor="text1"/>
              </w:rPr>
            </w:pPr>
          </w:p>
        </w:tc>
        <w:tc>
          <w:tcPr>
            <w:tcW w:w="3909" w:type="dxa"/>
            <w:tcBorders>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Is any antibody information (characteristics) present?</w:t>
            </w:r>
          </w:p>
        </w:tc>
        <w:tc>
          <w:tcPr>
            <w:tcW w:w="4484"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Any antibody information. E.g. if only catalog no. is given this question is answered with yes.</w:t>
            </w:r>
          </w:p>
        </w:tc>
      </w:tr>
      <w:tr w:rsidR="00AE7F93" w:rsidRPr="002F608E" w:rsidTr="00BF63A5">
        <w:trPr>
          <w:trHeight w:val="296"/>
        </w:trPr>
        <w:tc>
          <w:tcPr>
            <w:cnfStyle w:val="001000000000" w:firstRow="0" w:lastRow="0" w:firstColumn="1" w:lastColumn="0" w:oddVBand="0" w:evenVBand="0" w:oddHBand="0" w:evenHBand="0" w:firstRowFirstColumn="0" w:firstRowLastColumn="0" w:lastRowFirstColumn="0" w:lastRowLastColumn="0"/>
            <w:tcW w:w="1330" w:type="dxa"/>
            <w:vMerge/>
            <w:tcBorders>
              <w:left w:val="nil"/>
              <w:right w:val="nil"/>
            </w:tcBorders>
            <w:shd w:val="clear" w:color="auto" w:fill="F2F2F2" w:themeFill="background1" w:themeFillShade="F2"/>
          </w:tcPr>
          <w:p w:rsidR="00382745" w:rsidRPr="00AE7F93" w:rsidRDefault="00382745" w:rsidP="00BF63A5">
            <w:pPr>
              <w:rPr>
                <w:color w:val="000000" w:themeColor="text1"/>
              </w:rPr>
            </w:pPr>
          </w:p>
        </w:tc>
        <w:tc>
          <w:tcPr>
            <w:tcW w:w="3909" w:type="dxa"/>
            <w:tcBorders>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Is the basic antibody information of all commercial antibodies complete?</w:t>
            </w:r>
          </w:p>
        </w:tc>
        <w:tc>
          <w:tcPr>
            <w:tcW w:w="4484"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Complete means at least: name, supplier, and catalog no. Alternatively an RRID might be provided.</w:t>
            </w:r>
          </w:p>
        </w:tc>
      </w:tr>
      <w:tr w:rsidR="00AE7F93" w:rsidRPr="002F608E" w:rsidTr="00BF63A5">
        <w:trPr>
          <w:trHeight w:val="296"/>
        </w:trPr>
        <w:tc>
          <w:tcPr>
            <w:cnfStyle w:val="001000000000" w:firstRow="0" w:lastRow="0" w:firstColumn="1" w:lastColumn="0" w:oddVBand="0" w:evenVBand="0" w:oddHBand="0" w:evenHBand="0" w:firstRowFirstColumn="0" w:firstRowLastColumn="0" w:lastRowFirstColumn="0" w:lastRowLastColumn="0"/>
            <w:tcW w:w="1330" w:type="dxa"/>
            <w:vMerge/>
            <w:tcBorders>
              <w:left w:val="nil"/>
              <w:right w:val="nil"/>
            </w:tcBorders>
            <w:shd w:val="clear" w:color="auto" w:fill="F2F2F2" w:themeFill="background1" w:themeFillShade="F2"/>
          </w:tcPr>
          <w:p w:rsidR="00382745" w:rsidRPr="00AE7F93" w:rsidRDefault="00382745" w:rsidP="00BF63A5">
            <w:pPr>
              <w:rPr>
                <w:color w:val="000000" w:themeColor="text1"/>
              </w:rPr>
            </w:pPr>
          </w:p>
        </w:tc>
        <w:tc>
          <w:tcPr>
            <w:tcW w:w="3909" w:type="dxa"/>
            <w:tcBorders>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Is the basic antibody information of all non-commercial antibodies complete?</w:t>
            </w:r>
          </w:p>
        </w:tc>
        <w:tc>
          <w:tcPr>
            <w:tcW w:w="4484"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 xml:space="preserve">Complete means at least: host-animal and immunogen. Alternatively, an RRID might be provided. </w:t>
            </w:r>
          </w:p>
        </w:tc>
      </w:tr>
      <w:tr w:rsidR="00AE7F93" w:rsidRPr="002F608E" w:rsidTr="00BF63A5">
        <w:trPr>
          <w:trHeight w:val="296"/>
        </w:trPr>
        <w:tc>
          <w:tcPr>
            <w:cnfStyle w:val="001000000000" w:firstRow="0" w:lastRow="0" w:firstColumn="1" w:lastColumn="0" w:oddVBand="0" w:evenVBand="0" w:oddHBand="0" w:evenHBand="0" w:firstRowFirstColumn="0" w:firstRowLastColumn="0" w:lastRowFirstColumn="0" w:lastRowLastColumn="0"/>
            <w:tcW w:w="1330" w:type="dxa"/>
            <w:vMerge/>
            <w:tcBorders>
              <w:left w:val="nil"/>
              <w:right w:val="nil"/>
            </w:tcBorders>
            <w:shd w:val="clear" w:color="auto" w:fill="F2F2F2" w:themeFill="background1" w:themeFillShade="F2"/>
          </w:tcPr>
          <w:p w:rsidR="00382745" w:rsidRPr="00AE7F93" w:rsidRDefault="00382745" w:rsidP="00BF63A5">
            <w:pPr>
              <w:rPr>
                <w:color w:val="000000" w:themeColor="text1"/>
              </w:rPr>
            </w:pPr>
          </w:p>
        </w:tc>
        <w:tc>
          <w:tcPr>
            <w:tcW w:w="3909" w:type="dxa"/>
            <w:tcBorders>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Is the basic information of all primary antibodies complete?</w:t>
            </w:r>
          </w:p>
        </w:tc>
        <w:tc>
          <w:tcPr>
            <w:tcW w:w="4484"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Both commercial and non-commercial antibodies.</w:t>
            </w:r>
          </w:p>
        </w:tc>
      </w:tr>
      <w:tr w:rsidR="00AE7F93" w:rsidRPr="002F608E" w:rsidTr="00BF63A5">
        <w:trPr>
          <w:trHeight w:val="46"/>
        </w:trPr>
        <w:tc>
          <w:tcPr>
            <w:cnfStyle w:val="001000000000" w:firstRow="0" w:lastRow="0" w:firstColumn="1" w:lastColumn="0" w:oddVBand="0" w:evenVBand="0" w:oddHBand="0" w:evenHBand="0" w:firstRowFirstColumn="0" w:firstRowLastColumn="0" w:lastRowFirstColumn="0" w:lastRowLastColumn="0"/>
            <w:tcW w:w="1330" w:type="dxa"/>
            <w:tcBorders>
              <w:left w:val="nil"/>
              <w:right w:val="nil"/>
            </w:tcBorders>
            <w:shd w:val="clear" w:color="auto" w:fill="auto"/>
          </w:tcPr>
          <w:p w:rsidR="00382745" w:rsidRPr="00AE7F93" w:rsidRDefault="00382745" w:rsidP="00BF63A5">
            <w:pPr>
              <w:rPr>
                <w:color w:val="000000" w:themeColor="text1"/>
                <w:sz w:val="6"/>
                <w:szCs w:val="6"/>
              </w:rPr>
            </w:pPr>
          </w:p>
        </w:tc>
        <w:tc>
          <w:tcPr>
            <w:tcW w:w="3909" w:type="dxa"/>
            <w:tcBorders>
              <w:left w:val="nil"/>
              <w:right w:val="nil"/>
            </w:tcBorders>
            <w:shd w:val="clear" w:color="auto" w:fill="auto"/>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sz w:val="6"/>
                <w:szCs w:val="6"/>
              </w:rPr>
            </w:pPr>
          </w:p>
        </w:tc>
        <w:tc>
          <w:tcPr>
            <w:tcW w:w="4484" w:type="dxa"/>
            <w:tcBorders>
              <w:left w:val="nil"/>
              <w:right w:val="nil"/>
            </w:tcBorders>
            <w:shd w:val="clear" w:color="auto" w:fill="auto"/>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sz w:val="6"/>
                <w:szCs w:val="6"/>
              </w:rPr>
            </w:pPr>
          </w:p>
        </w:tc>
      </w:tr>
      <w:tr w:rsidR="00AE7F93" w:rsidRPr="002F608E" w:rsidTr="00BF63A5">
        <w:trPr>
          <w:trHeight w:val="296"/>
        </w:trPr>
        <w:tc>
          <w:tcPr>
            <w:cnfStyle w:val="001000000000" w:firstRow="0" w:lastRow="0" w:firstColumn="1" w:lastColumn="0" w:oddVBand="0" w:evenVBand="0" w:oddHBand="0" w:evenHBand="0" w:firstRowFirstColumn="0" w:firstRowLastColumn="0" w:lastRowFirstColumn="0" w:lastRowLastColumn="0"/>
            <w:tcW w:w="1330" w:type="dxa"/>
            <w:tcBorders>
              <w:left w:val="nil"/>
              <w:right w:val="nil"/>
            </w:tcBorders>
            <w:shd w:val="clear" w:color="auto" w:fill="F2F2F2" w:themeFill="background1" w:themeFillShade="F2"/>
          </w:tcPr>
          <w:p w:rsidR="00382745" w:rsidRPr="00AE7F93" w:rsidRDefault="00382745" w:rsidP="00BF63A5">
            <w:pPr>
              <w:rPr>
                <w:color w:val="000000" w:themeColor="text1"/>
              </w:rPr>
            </w:pPr>
            <w:r w:rsidRPr="00AE7F93">
              <w:rPr>
                <w:color w:val="000000" w:themeColor="text1"/>
              </w:rPr>
              <w:t>Validation</w:t>
            </w:r>
          </w:p>
        </w:tc>
        <w:tc>
          <w:tcPr>
            <w:tcW w:w="3909" w:type="dxa"/>
            <w:tcBorders>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Is any validation information about the antibodies present?</w:t>
            </w:r>
          </w:p>
        </w:tc>
        <w:tc>
          <w:tcPr>
            <w:tcW w:w="4484" w:type="dxa"/>
            <w:tcBorders>
              <w:left w:val="nil"/>
              <w:right w:val="nil"/>
            </w:tcBorders>
            <w:shd w:val="clear" w:color="auto" w:fill="F2F2F2" w:themeFill="background1" w:themeFillShade="F2"/>
          </w:tcPr>
          <w:p w:rsidR="00382745" w:rsidRPr="00AE7F93" w:rsidRDefault="00382745" w:rsidP="007F1D72">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 xml:space="preserve">Any validation info present for at least one antibody. </w:t>
            </w:r>
            <w:r w:rsidR="007F1D72" w:rsidRPr="00AE7F93">
              <w:rPr>
                <w:color w:val="000000" w:themeColor="text1"/>
              </w:rPr>
              <w:t>For example:</w:t>
            </w:r>
          </w:p>
          <w:p w:rsidR="00382745" w:rsidRPr="00AE7F93" w:rsidRDefault="00382745" w:rsidP="00382745">
            <w:pPr>
              <w:pStyle w:val="NoSpacing"/>
              <w:numPr>
                <w:ilvl w:val="0"/>
                <w:numId w:val="2"/>
              </w:num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A statement such as ‘the specificity of antibody X was verified by pre-adsorption,’ means this question is answered with yes.</w:t>
            </w:r>
          </w:p>
          <w:p w:rsidR="00382745" w:rsidRPr="00AE7F93" w:rsidRDefault="00382745" w:rsidP="00382745">
            <w:pPr>
              <w:pStyle w:val="NoSpacing"/>
              <w:numPr>
                <w:ilvl w:val="0"/>
                <w:numId w:val="2"/>
              </w:num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 xml:space="preserve">An experiment in which a positive or negative control is shown that would validate the antibody even if it was never the purpose to validate it means this question is answered with yes. </w:t>
            </w:r>
          </w:p>
          <w:p w:rsidR="00382745" w:rsidRPr="00AE7F93" w:rsidRDefault="00382745" w:rsidP="00382745">
            <w:pPr>
              <w:pStyle w:val="NoSpacing"/>
              <w:numPr>
                <w:ilvl w:val="0"/>
                <w:numId w:val="2"/>
              </w:num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 xml:space="preserve">An experiment in which an antibody is </w:t>
            </w:r>
            <w:r w:rsidRPr="00AE7F93">
              <w:rPr>
                <w:color w:val="000000" w:themeColor="text1"/>
              </w:rPr>
              <w:lastRenderedPageBreak/>
              <w:t xml:space="preserve">used to stain a target protein in cell lines in which this target protein is brought to expression but would not naturally occur means the question is answered with yes.  </w:t>
            </w:r>
          </w:p>
        </w:tc>
      </w:tr>
      <w:tr w:rsidR="00AE7F93" w:rsidRPr="002F608E" w:rsidTr="00BF63A5">
        <w:trPr>
          <w:trHeight w:val="40"/>
        </w:trPr>
        <w:tc>
          <w:tcPr>
            <w:cnfStyle w:val="001000000000" w:firstRow="0" w:lastRow="0" w:firstColumn="1" w:lastColumn="0" w:oddVBand="0" w:evenVBand="0" w:oddHBand="0" w:evenHBand="0" w:firstRowFirstColumn="0" w:firstRowLastColumn="0" w:lastRowFirstColumn="0" w:lastRowLastColumn="0"/>
            <w:tcW w:w="1330" w:type="dxa"/>
            <w:tcBorders>
              <w:left w:val="nil"/>
              <w:right w:val="nil"/>
            </w:tcBorders>
            <w:shd w:val="clear" w:color="auto" w:fill="auto"/>
          </w:tcPr>
          <w:p w:rsidR="00382745" w:rsidRPr="00AE7F93" w:rsidRDefault="00382745" w:rsidP="00BF63A5">
            <w:pPr>
              <w:rPr>
                <w:color w:val="000000" w:themeColor="text1"/>
                <w:sz w:val="6"/>
                <w:szCs w:val="6"/>
              </w:rPr>
            </w:pPr>
          </w:p>
        </w:tc>
        <w:tc>
          <w:tcPr>
            <w:tcW w:w="3909" w:type="dxa"/>
            <w:tcBorders>
              <w:left w:val="nil"/>
              <w:right w:val="nil"/>
            </w:tcBorders>
            <w:shd w:val="clear" w:color="auto" w:fill="auto"/>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sz w:val="6"/>
                <w:szCs w:val="6"/>
              </w:rPr>
            </w:pPr>
          </w:p>
        </w:tc>
        <w:tc>
          <w:tcPr>
            <w:tcW w:w="4484" w:type="dxa"/>
            <w:tcBorders>
              <w:left w:val="nil"/>
              <w:right w:val="nil"/>
            </w:tcBorders>
            <w:shd w:val="clear" w:color="auto" w:fill="auto"/>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sz w:val="6"/>
                <w:szCs w:val="6"/>
              </w:rPr>
            </w:pPr>
          </w:p>
        </w:tc>
      </w:tr>
      <w:tr w:rsidR="00AE7F93" w:rsidRPr="002F608E" w:rsidTr="00BF63A5">
        <w:trPr>
          <w:trHeight w:val="924"/>
        </w:trPr>
        <w:tc>
          <w:tcPr>
            <w:cnfStyle w:val="001000000000" w:firstRow="0" w:lastRow="0" w:firstColumn="1" w:lastColumn="0" w:oddVBand="0" w:evenVBand="0" w:oddHBand="0" w:evenHBand="0" w:firstRowFirstColumn="0" w:firstRowLastColumn="0" w:lastRowFirstColumn="0" w:lastRowLastColumn="0"/>
            <w:tcW w:w="1330" w:type="dxa"/>
            <w:vMerge w:val="restart"/>
            <w:tcBorders>
              <w:left w:val="nil"/>
              <w:right w:val="nil"/>
            </w:tcBorders>
            <w:shd w:val="clear" w:color="auto" w:fill="F2F2F2" w:themeFill="background1" w:themeFillShade="F2"/>
          </w:tcPr>
          <w:p w:rsidR="00382745" w:rsidRPr="00AE7F93" w:rsidRDefault="00382745" w:rsidP="00BF63A5">
            <w:pPr>
              <w:rPr>
                <w:color w:val="000000" w:themeColor="text1"/>
              </w:rPr>
            </w:pPr>
            <w:r w:rsidRPr="00AE7F93">
              <w:rPr>
                <w:color w:val="000000" w:themeColor="text1"/>
              </w:rPr>
              <w:t>Other</w:t>
            </w:r>
          </w:p>
        </w:tc>
        <w:tc>
          <w:tcPr>
            <w:tcW w:w="3909" w:type="dxa"/>
            <w:tcBorders>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 xml:space="preserve">Is the word 'validation', 'validated', 'characterization', 'specificity', 'reliability' mentioned with regard to antibodies in the paper/SI? </w:t>
            </w:r>
          </w:p>
        </w:tc>
        <w:tc>
          <w:tcPr>
            <w:tcW w:w="4484"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E7F93" w:rsidRPr="002F608E" w:rsidTr="00BF63A5">
        <w:trPr>
          <w:trHeight w:val="296"/>
        </w:trPr>
        <w:tc>
          <w:tcPr>
            <w:cnfStyle w:val="001000000000" w:firstRow="0" w:lastRow="0" w:firstColumn="1" w:lastColumn="0" w:oddVBand="0" w:evenVBand="0" w:oddHBand="0" w:evenHBand="0" w:firstRowFirstColumn="0" w:firstRowLastColumn="0" w:lastRowFirstColumn="0" w:lastRowLastColumn="0"/>
            <w:tcW w:w="1330" w:type="dxa"/>
            <w:vMerge/>
            <w:tcBorders>
              <w:left w:val="nil"/>
              <w:right w:val="nil"/>
            </w:tcBorders>
            <w:shd w:val="clear" w:color="auto" w:fill="F2F2F2" w:themeFill="background1" w:themeFillShade="F2"/>
          </w:tcPr>
          <w:p w:rsidR="00382745" w:rsidRPr="00AE7F93" w:rsidRDefault="00382745" w:rsidP="00BF63A5">
            <w:pPr>
              <w:rPr>
                <w:b w:val="0"/>
                <w:color w:val="000000" w:themeColor="text1"/>
              </w:rPr>
            </w:pPr>
          </w:p>
        </w:tc>
        <w:tc>
          <w:tcPr>
            <w:tcW w:w="3909" w:type="dxa"/>
            <w:tcBorders>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Comments:</w:t>
            </w:r>
          </w:p>
        </w:tc>
        <w:tc>
          <w:tcPr>
            <w:tcW w:w="4484" w:type="dxa"/>
            <w:tcBorders>
              <w:left w:val="nil"/>
              <w:right w:val="nil"/>
            </w:tcBorders>
            <w:shd w:val="clear" w:color="auto" w:fill="F2F2F2" w:themeFill="background1" w:themeFillShade="F2"/>
          </w:tcPr>
          <w:p w:rsidR="00382745" w:rsidRPr="00AE7F93" w:rsidRDefault="007F1D72"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Any unusual things or doubts about the paper</w:t>
            </w:r>
          </w:p>
        </w:tc>
      </w:tr>
      <w:tr w:rsidR="00AE7F93" w:rsidRPr="002F608E" w:rsidTr="00BF63A5">
        <w:trPr>
          <w:trHeight w:val="69"/>
        </w:trPr>
        <w:tc>
          <w:tcPr>
            <w:cnfStyle w:val="001000000000" w:firstRow="0" w:lastRow="0" w:firstColumn="1" w:lastColumn="0" w:oddVBand="0" w:evenVBand="0" w:oddHBand="0" w:evenHBand="0" w:firstRowFirstColumn="0" w:firstRowLastColumn="0" w:lastRowFirstColumn="0" w:lastRowLastColumn="0"/>
            <w:tcW w:w="1330" w:type="dxa"/>
            <w:vMerge/>
            <w:tcBorders>
              <w:left w:val="nil"/>
              <w:bottom w:val="nil"/>
              <w:right w:val="nil"/>
            </w:tcBorders>
            <w:shd w:val="clear" w:color="auto" w:fill="F2F2F2" w:themeFill="background1" w:themeFillShade="F2"/>
          </w:tcPr>
          <w:p w:rsidR="00382745" w:rsidRPr="00AE7F93" w:rsidRDefault="00382745" w:rsidP="00BF63A5">
            <w:pPr>
              <w:rPr>
                <w:b w:val="0"/>
                <w:color w:val="000000" w:themeColor="text1"/>
              </w:rPr>
            </w:pPr>
          </w:p>
        </w:tc>
        <w:tc>
          <w:tcPr>
            <w:tcW w:w="3909" w:type="dxa"/>
            <w:tcBorders>
              <w:left w:val="nil"/>
              <w:bottom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Elaborate explanation validation:</w:t>
            </w:r>
          </w:p>
        </w:tc>
        <w:tc>
          <w:tcPr>
            <w:tcW w:w="4484" w:type="dxa"/>
            <w:tcBorders>
              <w:left w:val="nil"/>
              <w:bottom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Copy and paste sections of paper/SI describing validation to illustrate.</w:t>
            </w:r>
          </w:p>
        </w:tc>
      </w:tr>
    </w:tbl>
    <w:p w:rsidR="00382745" w:rsidRPr="00CF700A" w:rsidRDefault="00382745" w:rsidP="00382745">
      <w:pPr>
        <w:pStyle w:val="Heading2"/>
        <w:numPr>
          <w:ilvl w:val="0"/>
          <w:numId w:val="0"/>
        </w:numPr>
      </w:pPr>
      <w:bookmarkStart w:id="4" w:name="_Toc532464319"/>
      <w:r w:rsidRPr="000B0DCF">
        <w:t>Part 2. Questions answered if at least one antibody was validated</w:t>
      </w:r>
      <w:bookmarkEnd w:id="4"/>
    </w:p>
    <w:tbl>
      <w:tblPr>
        <w:tblStyle w:val="GridTable1Light1"/>
        <w:tblW w:w="9639" w:type="dxa"/>
        <w:tblLayout w:type="fixed"/>
        <w:tblCellMar>
          <w:top w:w="29" w:type="dxa"/>
          <w:left w:w="115" w:type="dxa"/>
          <w:bottom w:w="29" w:type="dxa"/>
          <w:right w:w="115" w:type="dxa"/>
        </w:tblCellMar>
        <w:tblLook w:val="04A0" w:firstRow="1" w:lastRow="0" w:firstColumn="1" w:lastColumn="0" w:noHBand="0" w:noVBand="1"/>
      </w:tblPr>
      <w:tblGrid>
        <w:gridCol w:w="1306"/>
        <w:gridCol w:w="3750"/>
        <w:gridCol w:w="4583"/>
      </w:tblGrid>
      <w:tr w:rsidR="00AE7F93" w:rsidRPr="00AE7F93" w:rsidTr="00BF63A5">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33" w:type="dxa"/>
            <w:tcBorders>
              <w:top w:val="nil"/>
              <w:left w:val="nil"/>
              <w:right w:val="nil"/>
            </w:tcBorders>
          </w:tcPr>
          <w:p w:rsidR="00382745" w:rsidRPr="00AE7F93" w:rsidRDefault="00382745" w:rsidP="00BF63A5">
            <w:pPr>
              <w:rPr>
                <w:color w:val="000000" w:themeColor="text1"/>
                <w:sz w:val="24"/>
                <w:szCs w:val="24"/>
              </w:rPr>
            </w:pPr>
            <w:r w:rsidRPr="00AE7F93">
              <w:rPr>
                <w:color w:val="000000" w:themeColor="text1"/>
                <w:sz w:val="24"/>
                <w:szCs w:val="24"/>
              </w:rPr>
              <w:t>Category</w:t>
            </w:r>
          </w:p>
        </w:tc>
        <w:tc>
          <w:tcPr>
            <w:tcW w:w="3540" w:type="dxa"/>
            <w:tcBorders>
              <w:top w:val="nil"/>
              <w:left w:val="nil"/>
              <w:right w:val="nil"/>
            </w:tcBorders>
          </w:tcPr>
          <w:p w:rsidR="00382745" w:rsidRPr="00AE7F93" w:rsidRDefault="00382745" w:rsidP="00BF63A5">
            <w:pPr>
              <w:cnfStyle w:val="100000000000" w:firstRow="1" w:lastRow="0" w:firstColumn="0" w:lastColumn="0" w:oddVBand="0" w:evenVBand="0" w:oddHBand="0" w:evenHBand="0" w:firstRowFirstColumn="0" w:firstRowLastColumn="0" w:lastRowFirstColumn="0" w:lastRowLastColumn="0"/>
              <w:rPr>
                <w:b w:val="0"/>
                <w:color w:val="000000" w:themeColor="text1"/>
                <w:sz w:val="24"/>
                <w:szCs w:val="24"/>
              </w:rPr>
            </w:pPr>
            <w:r w:rsidRPr="00AE7F93">
              <w:rPr>
                <w:color w:val="000000" w:themeColor="text1"/>
                <w:sz w:val="24"/>
                <w:szCs w:val="24"/>
              </w:rPr>
              <w:t xml:space="preserve">Question about article </w:t>
            </w:r>
          </w:p>
        </w:tc>
        <w:tc>
          <w:tcPr>
            <w:tcW w:w="4326" w:type="dxa"/>
            <w:tcBorders>
              <w:top w:val="nil"/>
              <w:left w:val="nil"/>
              <w:right w:val="nil"/>
            </w:tcBorders>
          </w:tcPr>
          <w:p w:rsidR="00382745" w:rsidRPr="00AE7F93" w:rsidRDefault="00382745" w:rsidP="00BF63A5">
            <w:pPr>
              <w:pStyle w:val="NoSpacing"/>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AE7F93">
              <w:rPr>
                <w:color w:val="000000" w:themeColor="text1"/>
                <w:sz w:val="24"/>
                <w:szCs w:val="24"/>
              </w:rPr>
              <w:t xml:space="preserve">Further explanation </w:t>
            </w:r>
          </w:p>
        </w:tc>
      </w:tr>
      <w:tr w:rsidR="00AE7F93" w:rsidRPr="002F608E" w:rsidTr="00BF63A5">
        <w:trPr>
          <w:trHeight w:val="266"/>
        </w:trPr>
        <w:tc>
          <w:tcPr>
            <w:cnfStyle w:val="001000000000" w:firstRow="0" w:lastRow="0" w:firstColumn="1" w:lastColumn="0" w:oddVBand="0" w:evenVBand="0" w:oddHBand="0" w:evenHBand="0" w:firstRowFirstColumn="0" w:firstRowLastColumn="0" w:lastRowFirstColumn="0" w:lastRowLastColumn="0"/>
            <w:tcW w:w="1233" w:type="dxa"/>
            <w:vMerge w:val="restart"/>
            <w:tcBorders>
              <w:left w:val="nil"/>
              <w:right w:val="nil"/>
            </w:tcBorders>
            <w:shd w:val="clear" w:color="auto" w:fill="F2F2F2" w:themeFill="background1" w:themeFillShade="F2"/>
          </w:tcPr>
          <w:p w:rsidR="00382745" w:rsidRPr="00AE7F93" w:rsidRDefault="00382745" w:rsidP="00BF63A5">
            <w:pPr>
              <w:rPr>
                <w:i/>
                <w:color w:val="000000" w:themeColor="text1"/>
              </w:rPr>
            </w:pPr>
            <w:r w:rsidRPr="00AE7F93">
              <w:rPr>
                <w:color w:val="000000" w:themeColor="text1"/>
              </w:rPr>
              <w:t>Validation</w:t>
            </w:r>
          </w:p>
        </w:tc>
        <w:tc>
          <w:tcPr>
            <w:tcW w:w="3540"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i/>
                <w:color w:val="000000" w:themeColor="text1"/>
              </w:rPr>
            </w:pPr>
            <w:r w:rsidRPr="00AE7F93">
              <w:rPr>
                <w:color w:val="000000" w:themeColor="text1"/>
              </w:rPr>
              <w:t>Does the article show proof of validation or explain validation?</w:t>
            </w:r>
          </w:p>
        </w:tc>
        <w:tc>
          <w:tcPr>
            <w:tcW w:w="4326"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i/>
                <w:color w:val="000000" w:themeColor="text1"/>
              </w:rPr>
            </w:pPr>
            <w:r w:rsidRPr="00AE7F93">
              <w:rPr>
                <w:color w:val="000000" w:themeColor="text1"/>
              </w:rPr>
              <w:t>Experimental proof or reference to where to find proof. E.g. in case the article only shows a statement such as: ‘all antibodies were validated,’ this question is answered with no.</w:t>
            </w:r>
          </w:p>
        </w:tc>
      </w:tr>
      <w:tr w:rsidR="00AE7F93" w:rsidRPr="002F608E" w:rsidTr="00BF63A5">
        <w:trPr>
          <w:trHeight w:val="266"/>
        </w:trPr>
        <w:tc>
          <w:tcPr>
            <w:cnfStyle w:val="001000000000" w:firstRow="0" w:lastRow="0" w:firstColumn="1" w:lastColumn="0" w:oddVBand="0" w:evenVBand="0" w:oddHBand="0" w:evenHBand="0" w:firstRowFirstColumn="0" w:firstRowLastColumn="0" w:lastRowFirstColumn="0" w:lastRowLastColumn="0"/>
            <w:tcW w:w="1233" w:type="dxa"/>
            <w:vMerge/>
            <w:tcBorders>
              <w:left w:val="nil"/>
              <w:right w:val="nil"/>
            </w:tcBorders>
            <w:shd w:val="clear" w:color="auto" w:fill="F2F2F2" w:themeFill="background1" w:themeFillShade="F2"/>
          </w:tcPr>
          <w:p w:rsidR="00382745" w:rsidRPr="00AE7F93" w:rsidRDefault="00382745" w:rsidP="00BF63A5">
            <w:pPr>
              <w:rPr>
                <w:color w:val="000000" w:themeColor="text1"/>
              </w:rPr>
            </w:pPr>
          </w:p>
        </w:tc>
        <w:tc>
          <w:tcPr>
            <w:tcW w:w="3540" w:type="dxa"/>
            <w:tcBorders>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How many of the used antibodies are validated?</w:t>
            </w:r>
          </w:p>
        </w:tc>
        <w:tc>
          <w:tcPr>
            <w:tcW w:w="4326"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 xml:space="preserve">Vague statements like ‘all antibodies were validated’ get benefit of the doubt. </w:t>
            </w:r>
          </w:p>
        </w:tc>
      </w:tr>
      <w:tr w:rsidR="00AE7F93" w:rsidRPr="00AE7F93" w:rsidTr="00BF63A5">
        <w:trPr>
          <w:trHeight w:val="266"/>
        </w:trPr>
        <w:tc>
          <w:tcPr>
            <w:cnfStyle w:val="001000000000" w:firstRow="0" w:lastRow="0" w:firstColumn="1" w:lastColumn="0" w:oddVBand="0" w:evenVBand="0" w:oddHBand="0" w:evenHBand="0" w:firstRowFirstColumn="0" w:firstRowLastColumn="0" w:lastRowFirstColumn="0" w:lastRowLastColumn="0"/>
            <w:tcW w:w="1233" w:type="dxa"/>
            <w:vMerge/>
            <w:tcBorders>
              <w:left w:val="nil"/>
              <w:right w:val="nil"/>
            </w:tcBorders>
            <w:shd w:val="clear" w:color="auto" w:fill="F2F2F2" w:themeFill="background1" w:themeFillShade="F2"/>
          </w:tcPr>
          <w:p w:rsidR="00382745" w:rsidRPr="00AE7F93" w:rsidRDefault="00382745" w:rsidP="00BF63A5">
            <w:pPr>
              <w:rPr>
                <w:color w:val="000000" w:themeColor="text1"/>
              </w:rPr>
            </w:pPr>
          </w:p>
        </w:tc>
        <w:tc>
          <w:tcPr>
            <w:tcW w:w="3540" w:type="dxa"/>
            <w:tcBorders>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Where is the antibody validation information mentioned? SI or main text?</w:t>
            </w:r>
          </w:p>
        </w:tc>
        <w:tc>
          <w:tcPr>
            <w:tcW w:w="4326"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E7F93" w:rsidRPr="002F608E" w:rsidTr="00BF63A5">
        <w:trPr>
          <w:trHeight w:val="266"/>
        </w:trPr>
        <w:tc>
          <w:tcPr>
            <w:cnfStyle w:val="001000000000" w:firstRow="0" w:lastRow="0" w:firstColumn="1" w:lastColumn="0" w:oddVBand="0" w:evenVBand="0" w:oddHBand="0" w:evenHBand="0" w:firstRowFirstColumn="0" w:firstRowLastColumn="0" w:lastRowFirstColumn="0" w:lastRowLastColumn="0"/>
            <w:tcW w:w="1233" w:type="dxa"/>
            <w:vMerge/>
            <w:tcBorders>
              <w:left w:val="nil"/>
              <w:right w:val="nil"/>
            </w:tcBorders>
            <w:shd w:val="clear" w:color="auto" w:fill="F2F2F2" w:themeFill="background1" w:themeFillShade="F2"/>
          </w:tcPr>
          <w:p w:rsidR="00382745" w:rsidRPr="00AE7F93" w:rsidRDefault="00382745" w:rsidP="00BF63A5">
            <w:pPr>
              <w:rPr>
                <w:color w:val="000000" w:themeColor="text1"/>
              </w:rPr>
            </w:pPr>
          </w:p>
        </w:tc>
        <w:tc>
          <w:tcPr>
            <w:tcW w:w="3540" w:type="dxa"/>
            <w:tcBorders>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Does the article mention validation of some antibodies but not of others?</w:t>
            </w:r>
            <w:r w:rsidRPr="00AE7F93">
              <w:rPr>
                <w:color w:val="000000" w:themeColor="text1"/>
              </w:rPr>
              <w:tab/>
            </w:r>
          </w:p>
        </w:tc>
        <w:tc>
          <w:tcPr>
            <w:tcW w:w="4326"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E7F93" w:rsidRPr="002F608E" w:rsidTr="00BF63A5">
        <w:trPr>
          <w:trHeight w:val="266"/>
        </w:trPr>
        <w:tc>
          <w:tcPr>
            <w:cnfStyle w:val="001000000000" w:firstRow="0" w:lastRow="0" w:firstColumn="1" w:lastColumn="0" w:oddVBand="0" w:evenVBand="0" w:oddHBand="0" w:evenHBand="0" w:firstRowFirstColumn="0" w:firstRowLastColumn="0" w:lastRowFirstColumn="0" w:lastRowLastColumn="0"/>
            <w:tcW w:w="1233" w:type="dxa"/>
            <w:vMerge/>
            <w:tcBorders>
              <w:left w:val="nil"/>
              <w:right w:val="nil"/>
            </w:tcBorders>
            <w:shd w:val="clear" w:color="auto" w:fill="F2F2F2" w:themeFill="background1" w:themeFillShade="F2"/>
          </w:tcPr>
          <w:p w:rsidR="00382745" w:rsidRPr="00AE7F93" w:rsidRDefault="00382745" w:rsidP="00BF63A5">
            <w:pPr>
              <w:rPr>
                <w:color w:val="000000" w:themeColor="text1"/>
              </w:rPr>
            </w:pPr>
          </w:p>
        </w:tc>
        <w:tc>
          <w:tcPr>
            <w:tcW w:w="3540" w:type="dxa"/>
            <w:tcBorders>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Does the article mention different types of validation for different antibodies used?</w:t>
            </w:r>
          </w:p>
        </w:tc>
        <w:tc>
          <w:tcPr>
            <w:tcW w:w="4326"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E7F93" w:rsidRPr="002F608E" w:rsidTr="00BF63A5">
        <w:trPr>
          <w:trHeight w:val="266"/>
        </w:trPr>
        <w:tc>
          <w:tcPr>
            <w:cnfStyle w:val="001000000000" w:firstRow="0" w:lastRow="0" w:firstColumn="1" w:lastColumn="0" w:oddVBand="0" w:evenVBand="0" w:oddHBand="0" w:evenHBand="0" w:firstRowFirstColumn="0" w:firstRowLastColumn="0" w:lastRowFirstColumn="0" w:lastRowLastColumn="0"/>
            <w:tcW w:w="1233" w:type="dxa"/>
            <w:vMerge/>
            <w:tcBorders>
              <w:left w:val="nil"/>
              <w:right w:val="nil"/>
            </w:tcBorders>
            <w:shd w:val="clear" w:color="auto" w:fill="F2F2F2" w:themeFill="background1" w:themeFillShade="F2"/>
          </w:tcPr>
          <w:p w:rsidR="00382745" w:rsidRPr="00AE7F93" w:rsidRDefault="00382745" w:rsidP="00BF63A5">
            <w:pPr>
              <w:rPr>
                <w:color w:val="000000" w:themeColor="text1"/>
              </w:rPr>
            </w:pPr>
          </w:p>
        </w:tc>
        <w:tc>
          <w:tcPr>
            <w:tcW w:w="3540" w:type="dxa"/>
            <w:tcBorders>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Does the article mention multiple types of validation per antibody?</w:t>
            </w:r>
          </w:p>
        </w:tc>
        <w:tc>
          <w:tcPr>
            <w:tcW w:w="4326"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E7F93" w:rsidRPr="002F608E" w:rsidTr="00BF63A5">
        <w:trPr>
          <w:trHeight w:val="266"/>
        </w:trPr>
        <w:tc>
          <w:tcPr>
            <w:cnfStyle w:val="001000000000" w:firstRow="0" w:lastRow="0" w:firstColumn="1" w:lastColumn="0" w:oddVBand="0" w:evenVBand="0" w:oddHBand="0" w:evenHBand="0" w:firstRowFirstColumn="0" w:firstRowLastColumn="0" w:lastRowFirstColumn="0" w:lastRowLastColumn="0"/>
            <w:tcW w:w="1233" w:type="dxa"/>
            <w:vMerge/>
            <w:tcBorders>
              <w:left w:val="nil"/>
              <w:right w:val="nil"/>
            </w:tcBorders>
            <w:shd w:val="clear" w:color="auto" w:fill="F2F2F2" w:themeFill="background1" w:themeFillShade="F2"/>
          </w:tcPr>
          <w:p w:rsidR="00382745" w:rsidRPr="00AE7F93" w:rsidRDefault="00382745" w:rsidP="00BF63A5">
            <w:pPr>
              <w:rPr>
                <w:color w:val="000000" w:themeColor="text1"/>
              </w:rPr>
            </w:pPr>
          </w:p>
        </w:tc>
        <w:tc>
          <w:tcPr>
            <w:tcW w:w="3540" w:type="dxa"/>
            <w:tcBorders>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Are all primary antibodies validated?</w:t>
            </w:r>
          </w:p>
        </w:tc>
        <w:tc>
          <w:tcPr>
            <w:tcW w:w="4326"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E7F93" w:rsidRPr="002F608E" w:rsidTr="00BF63A5">
        <w:trPr>
          <w:trHeight w:val="23"/>
        </w:trPr>
        <w:tc>
          <w:tcPr>
            <w:cnfStyle w:val="001000000000" w:firstRow="0" w:lastRow="0" w:firstColumn="1" w:lastColumn="0" w:oddVBand="0" w:evenVBand="0" w:oddHBand="0" w:evenHBand="0" w:firstRowFirstColumn="0" w:firstRowLastColumn="0" w:lastRowFirstColumn="0" w:lastRowLastColumn="0"/>
            <w:tcW w:w="1233" w:type="dxa"/>
            <w:tcBorders>
              <w:left w:val="nil"/>
              <w:bottom w:val="single" w:sz="4" w:space="0" w:color="999999" w:themeColor="text1" w:themeTint="66"/>
              <w:right w:val="nil"/>
            </w:tcBorders>
            <w:shd w:val="clear" w:color="auto" w:fill="FFFFFF" w:themeFill="background1"/>
          </w:tcPr>
          <w:p w:rsidR="00382745" w:rsidRPr="00AE7F93" w:rsidRDefault="00382745" w:rsidP="00BF63A5">
            <w:pPr>
              <w:rPr>
                <w:color w:val="000000" w:themeColor="text1"/>
                <w:sz w:val="6"/>
                <w:szCs w:val="6"/>
              </w:rPr>
            </w:pPr>
          </w:p>
        </w:tc>
        <w:tc>
          <w:tcPr>
            <w:tcW w:w="3540" w:type="dxa"/>
            <w:tcBorders>
              <w:left w:val="nil"/>
              <w:bottom w:val="single" w:sz="4" w:space="0" w:color="999999" w:themeColor="text1" w:themeTint="66"/>
              <w:right w:val="nil"/>
            </w:tcBorders>
            <w:shd w:val="clear" w:color="auto" w:fill="FFFFFF" w:themeFill="background1"/>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sz w:val="6"/>
                <w:szCs w:val="6"/>
              </w:rPr>
            </w:pPr>
          </w:p>
        </w:tc>
        <w:tc>
          <w:tcPr>
            <w:tcW w:w="4326" w:type="dxa"/>
            <w:tcBorders>
              <w:left w:val="nil"/>
              <w:bottom w:val="single" w:sz="4" w:space="0" w:color="999999" w:themeColor="text1" w:themeTint="66"/>
              <w:right w:val="nil"/>
            </w:tcBorders>
            <w:shd w:val="clear" w:color="auto" w:fill="FFFFFF" w:themeFill="background1"/>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sz w:val="6"/>
                <w:szCs w:val="6"/>
              </w:rPr>
            </w:pPr>
          </w:p>
        </w:tc>
      </w:tr>
      <w:tr w:rsidR="00AE7F93" w:rsidRPr="002F608E" w:rsidTr="00BF63A5">
        <w:trPr>
          <w:trHeight w:val="266"/>
        </w:trPr>
        <w:tc>
          <w:tcPr>
            <w:cnfStyle w:val="001000000000" w:firstRow="0" w:lastRow="0" w:firstColumn="1" w:lastColumn="0" w:oddVBand="0" w:evenVBand="0" w:oddHBand="0" w:evenHBand="0" w:firstRowFirstColumn="0" w:firstRowLastColumn="0" w:lastRowFirstColumn="0" w:lastRowLastColumn="0"/>
            <w:tcW w:w="1233" w:type="dxa"/>
            <w:vMerge w:val="restart"/>
            <w:tcBorders>
              <w:left w:val="nil"/>
              <w:right w:val="nil"/>
            </w:tcBorders>
            <w:shd w:val="clear" w:color="auto" w:fill="F2F2F2" w:themeFill="background1" w:themeFillShade="F2"/>
          </w:tcPr>
          <w:p w:rsidR="00382745" w:rsidRPr="00AE7F93" w:rsidRDefault="00382745" w:rsidP="00BF63A5">
            <w:pPr>
              <w:rPr>
                <w:color w:val="000000" w:themeColor="text1"/>
              </w:rPr>
            </w:pPr>
            <w:r w:rsidRPr="00AE7F93">
              <w:rPr>
                <w:color w:val="000000" w:themeColor="text1"/>
              </w:rPr>
              <w:t>Type of antibody validation</w:t>
            </w:r>
          </w:p>
        </w:tc>
        <w:tc>
          <w:tcPr>
            <w:tcW w:w="3540" w:type="dxa"/>
            <w:tcBorders>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Is a reference to validation by the antibody supplier given?</w:t>
            </w:r>
          </w:p>
        </w:tc>
        <w:tc>
          <w:tcPr>
            <w:tcW w:w="4326"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Statements, such as: ‘the specificity of the antibody has been assessed by the manufacturer of the antibody,’ mean this question is answered with yes.</w:t>
            </w:r>
          </w:p>
        </w:tc>
      </w:tr>
      <w:tr w:rsidR="00AE7F93" w:rsidRPr="002F608E" w:rsidTr="00BF63A5">
        <w:trPr>
          <w:trHeight w:val="266"/>
        </w:trPr>
        <w:tc>
          <w:tcPr>
            <w:cnfStyle w:val="001000000000" w:firstRow="0" w:lastRow="0" w:firstColumn="1" w:lastColumn="0" w:oddVBand="0" w:evenVBand="0" w:oddHBand="0" w:evenHBand="0" w:firstRowFirstColumn="0" w:firstRowLastColumn="0" w:lastRowFirstColumn="0" w:lastRowLastColumn="0"/>
            <w:tcW w:w="1233" w:type="dxa"/>
            <w:vMerge/>
            <w:tcBorders>
              <w:left w:val="nil"/>
              <w:right w:val="nil"/>
            </w:tcBorders>
            <w:shd w:val="clear" w:color="auto" w:fill="F2F2F2" w:themeFill="background1" w:themeFillShade="F2"/>
          </w:tcPr>
          <w:p w:rsidR="00382745" w:rsidRPr="00AE7F93" w:rsidRDefault="00382745" w:rsidP="00BF63A5">
            <w:pPr>
              <w:rPr>
                <w:b w:val="0"/>
                <w:color w:val="000000" w:themeColor="text1"/>
              </w:rPr>
            </w:pPr>
          </w:p>
        </w:tc>
        <w:tc>
          <w:tcPr>
            <w:tcW w:w="3540" w:type="dxa"/>
            <w:tcBorders>
              <w:left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Is a reference to antibody validation in the literature given?</w:t>
            </w:r>
          </w:p>
        </w:tc>
        <w:tc>
          <w:tcPr>
            <w:tcW w:w="4326"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 xml:space="preserve">Statements, such as: ‘the specificity of the antibody was previously established by WB’, followed with a citation to the literature mean this question is answered with yes. </w:t>
            </w:r>
          </w:p>
          <w:p w:rsidR="00BF63A5" w:rsidRPr="00AE7F93" w:rsidRDefault="00BF63A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p>
          <w:p w:rsidR="00382745" w:rsidRPr="00AE7F93" w:rsidRDefault="00BF63A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w:t>
            </w:r>
            <w:r w:rsidR="00382745" w:rsidRPr="00AE7F93">
              <w:rPr>
                <w:color w:val="000000" w:themeColor="text1"/>
              </w:rPr>
              <w:t>In this case the question about the type of validation by researchers themselves ‘is the antibody validated by using WB?’ is answered with no because validation was not carried out by the researchers themselves.</w:t>
            </w:r>
            <w:r w:rsidRPr="00AE7F93">
              <w:rPr>
                <w:color w:val="000000" w:themeColor="text1"/>
              </w:rPr>
              <w:t>)</w:t>
            </w:r>
          </w:p>
        </w:tc>
      </w:tr>
      <w:tr w:rsidR="00AE7F93" w:rsidRPr="002F608E" w:rsidTr="00BF63A5">
        <w:trPr>
          <w:trHeight w:val="266"/>
        </w:trPr>
        <w:tc>
          <w:tcPr>
            <w:cnfStyle w:val="001000000000" w:firstRow="0" w:lastRow="0" w:firstColumn="1" w:lastColumn="0" w:oddVBand="0" w:evenVBand="0" w:oddHBand="0" w:evenHBand="0" w:firstRowFirstColumn="0" w:firstRowLastColumn="0" w:lastRowFirstColumn="0" w:lastRowLastColumn="0"/>
            <w:tcW w:w="1233" w:type="dxa"/>
            <w:vMerge/>
            <w:tcBorders>
              <w:left w:val="nil"/>
              <w:right w:val="nil"/>
            </w:tcBorders>
            <w:shd w:val="clear" w:color="auto" w:fill="F2F2F2" w:themeFill="background1" w:themeFillShade="F2"/>
          </w:tcPr>
          <w:p w:rsidR="00382745" w:rsidRPr="00AE7F93" w:rsidRDefault="00382745" w:rsidP="00BF63A5">
            <w:pPr>
              <w:rPr>
                <w:b w:val="0"/>
                <w:color w:val="000000" w:themeColor="text1"/>
              </w:rPr>
            </w:pPr>
          </w:p>
        </w:tc>
        <w:tc>
          <w:tcPr>
            <w:tcW w:w="3540" w:type="dxa"/>
            <w:tcBorders>
              <w:left w:val="nil"/>
              <w:bottom w:val="single" w:sz="4" w:space="0" w:color="999999" w:themeColor="text1" w:themeTint="66"/>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 xml:space="preserve">Is a reference to antibody validation </w:t>
            </w:r>
            <w:r w:rsidRPr="00AE7F93">
              <w:rPr>
                <w:color w:val="000000" w:themeColor="text1"/>
              </w:rPr>
              <w:lastRenderedPageBreak/>
              <w:t>information from a database given?</w:t>
            </w:r>
          </w:p>
        </w:tc>
        <w:tc>
          <w:tcPr>
            <w:tcW w:w="4326" w:type="dxa"/>
            <w:tcBorders>
              <w:left w:val="nil"/>
              <w:bottom w:val="single" w:sz="4" w:space="0" w:color="999999" w:themeColor="text1" w:themeTint="66"/>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lastRenderedPageBreak/>
              <w:t xml:space="preserve">Statements, such as: ‘the specificity of the </w:t>
            </w:r>
            <w:r w:rsidRPr="00AE7F93">
              <w:rPr>
                <w:color w:val="000000" w:themeColor="text1"/>
              </w:rPr>
              <w:lastRenderedPageBreak/>
              <w:t>antibody was previously established by knockout experiments,’ followed with a citation to a database mean this question is answered with yes.</w:t>
            </w:r>
          </w:p>
        </w:tc>
      </w:tr>
      <w:tr w:rsidR="00AE7F93" w:rsidRPr="002F608E" w:rsidTr="00BF63A5">
        <w:trPr>
          <w:trHeight w:val="68"/>
        </w:trPr>
        <w:tc>
          <w:tcPr>
            <w:cnfStyle w:val="001000000000" w:firstRow="0" w:lastRow="0" w:firstColumn="1" w:lastColumn="0" w:oddVBand="0" w:evenVBand="0" w:oddHBand="0" w:evenHBand="0" w:firstRowFirstColumn="0" w:firstRowLastColumn="0" w:lastRowFirstColumn="0" w:lastRowLastColumn="0"/>
            <w:tcW w:w="1233" w:type="dxa"/>
            <w:vMerge/>
            <w:tcBorders>
              <w:left w:val="nil"/>
              <w:bottom w:val="nil"/>
              <w:right w:val="nil"/>
            </w:tcBorders>
            <w:shd w:val="clear" w:color="auto" w:fill="F2F2F2" w:themeFill="background1" w:themeFillShade="F2"/>
          </w:tcPr>
          <w:p w:rsidR="00382745" w:rsidRPr="00AE7F93" w:rsidRDefault="00382745" w:rsidP="00BF63A5">
            <w:pPr>
              <w:rPr>
                <w:b w:val="0"/>
                <w:color w:val="000000" w:themeColor="text1"/>
              </w:rPr>
            </w:pPr>
          </w:p>
        </w:tc>
        <w:tc>
          <w:tcPr>
            <w:tcW w:w="3540" w:type="dxa"/>
            <w:tcBorders>
              <w:left w:val="nil"/>
              <w:bottom w:val="nil"/>
              <w:right w:val="nil"/>
            </w:tcBorders>
            <w:shd w:val="clear" w:color="auto" w:fill="F2F2F2" w:themeFill="background1" w:themeFillShade="F2"/>
          </w:tcPr>
          <w:p w:rsidR="00382745" w:rsidRPr="00AE7F93" w:rsidRDefault="00382745" w:rsidP="00BF63A5">
            <w:pPr>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Is antibody validation carried out by the authors of the article (by researchers themselves)?</w:t>
            </w:r>
          </w:p>
        </w:tc>
        <w:tc>
          <w:tcPr>
            <w:tcW w:w="4326" w:type="dxa"/>
            <w:tcBorders>
              <w:left w:val="nil"/>
              <w:bottom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Any type of validation that was carried out by researchers themselves, even if validation was not the purpose of researchers. E.g. picture of WB showing knockout and wild type samples stained with antibody results in a yes.</w:t>
            </w:r>
          </w:p>
        </w:tc>
      </w:tr>
    </w:tbl>
    <w:p w:rsidR="00382745" w:rsidRPr="00382745" w:rsidRDefault="00382745" w:rsidP="00382745">
      <w:pPr>
        <w:rPr>
          <w:lang w:val="en-US"/>
        </w:rPr>
      </w:pPr>
    </w:p>
    <w:p w:rsidR="00382745" w:rsidRPr="00FD74B3" w:rsidRDefault="00382745" w:rsidP="00382745">
      <w:pPr>
        <w:pStyle w:val="Heading2"/>
        <w:numPr>
          <w:ilvl w:val="0"/>
          <w:numId w:val="0"/>
        </w:numPr>
        <w:ind w:left="576" w:hanging="576"/>
      </w:pPr>
      <w:bookmarkStart w:id="5" w:name="_Toc532464320"/>
      <w:r>
        <w:t>Part 3. Questions answered about validation by researchers</w:t>
      </w:r>
      <w:bookmarkEnd w:id="5"/>
    </w:p>
    <w:tbl>
      <w:tblPr>
        <w:tblStyle w:val="GridTable1Light1"/>
        <w:tblW w:w="9639" w:type="dxa"/>
        <w:tblLayout w:type="fixed"/>
        <w:tblCellMar>
          <w:top w:w="29" w:type="dxa"/>
          <w:left w:w="115" w:type="dxa"/>
          <w:bottom w:w="29" w:type="dxa"/>
          <w:right w:w="115" w:type="dxa"/>
        </w:tblCellMar>
        <w:tblLook w:val="04A0" w:firstRow="1" w:lastRow="0" w:firstColumn="1" w:lastColumn="0" w:noHBand="0" w:noVBand="1"/>
      </w:tblPr>
      <w:tblGrid>
        <w:gridCol w:w="1306"/>
        <w:gridCol w:w="3750"/>
        <w:gridCol w:w="4583"/>
      </w:tblGrid>
      <w:tr w:rsidR="00AE7F93" w:rsidRPr="00AE7F93" w:rsidTr="0088564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6" w:type="dxa"/>
            <w:tcBorders>
              <w:top w:val="nil"/>
              <w:left w:val="nil"/>
              <w:bottom w:val="single" w:sz="12" w:space="0" w:color="auto"/>
              <w:right w:val="nil"/>
            </w:tcBorders>
          </w:tcPr>
          <w:p w:rsidR="00382745" w:rsidRPr="00AE7F93" w:rsidRDefault="00382745" w:rsidP="00BF63A5">
            <w:pPr>
              <w:rPr>
                <w:b w:val="0"/>
                <w:color w:val="000000" w:themeColor="text1"/>
                <w:sz w:val="24"/>
                <w:szCs w:val="24"/>
              </w:rPr>
            </w:pPr>
            <w:r w:rsidRPr="00AE7F93">
              <w:rPr>
                <w:color w:val="000000" w:themeColor="text1"/>
                <w:sz w:val="24"/>
                <w:szCs w:val="24"/>
              </w:rPr>
              <w:t>Category</w:t>
            </w:r>
          </w:p>
        </w:tc>
        <w:tc>
          <w:tcPr>
            <w:tcW w:w="3750" w:type="dxa"/>
            <w:tcBorders>
              <w:top w:val="nil"/>
              <w:left w:val="nil"/>
              <w:bottom w:val="single" w:sz="12" w:space="0" w:color="auto"/>
              <w:right w:val="nil"/>
            </w:tcBorders>
          </w:tcPr>
          <w:p w:rsidR="00382745" w:rsidRPr="00AE7F93" w:rsidRDefault="00382745" w:rsidP="00BF63A5">
            <w:pP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AE7F93">
              <w:rPr>
                <w:color w:val="000000" w:themeColor="text1"/>
                <w:sz w:val="24"/>
                <w:szCs w:val="24"/>
              </w:rPr>
              <w:t xml:space="preserve">Question about article </w:t>
            </w:r>
          </w:p>
        </w:tc>
        <w:tc>
          <w:tcPr>
            <w:tcW w:w="4583" w:type="dxa"/>
            <w:tcBorders>
              <w:top w:val="nil"/>
              <w:left w:val="nil"/>
              <w:bottom w:val="single" w:sz="12" w:space="0" w:color="auto"/>
              <w:right w:val="nil"/>
            </w:tcBorders>
          </w:tcPr>
          <w:p w:rsidR="00382745" w:rsidRPr="00AE7F93" w:rsidRDefault="00382745" w:rsidP="00BF63A5">
            <w:pPr>
              <w:pStyle w:val="NoSpacing"/>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AE7F93">
              <w:rPr>
                <w:color w:val="000000" w:themeColor="text1"/>
                <w:sz w:val="24"/>
                <w:szCs w:val="24"/>
              </w:rPr>
              <w:t xml:space="preserve">Further explanation </w:t>
            </w:r>
          </w:p>
        </w:tc>
      </w:tr>
      <w:tr w:rsidR="00AE7F93" w:rsidRPr="002F608E" w:rsidTr="00885643">
        <w:trPr>
          <w:trHeight w:val="478"/>
        </w:trPr>
        <w:tc>
          <w:tcPr>
            <w:cnfStyle w:val="001000000000" w:firstRow="0" w:lastRow="0" w:firstColumn="1" w:lastColumn="0" w:oddVBand="0" w:evenVBand="0" w:oddHBand="0" w:evenHBand="0" w:firstRowFirstColumn="0" w:firstRowLastColumn="0" w:lastRowFirstColumn="0" w:lastRowLastColumn="0"/>
            <w:tcW w:w="1306" w:type="dxa"/>
            <w:vMerge w:val="restart"/>
            <w:tcBorders>
              <w:top w:val="single" w:sz="12" w:space="0" w:color="auto"/>
              <w:left w:val="nil"/>
              <w:right w:val="nil"/>
            </w:tcBorders>
            <w:shd w:val="clear" w:color="auto" w:fill="F2F2F2" w:themeFill="background1" w:themeFillShade="F2"/>
          </w:tcPr>
          <w:p w:rsidR="00382745" w:rsidRPr="00AE7F93" w:rsidRDefault="00382745" w:rsidP="00BF63A5">
            <w:pPr>
              <w:rPr>
                <w:color w:val="000000" w:themeColor="text1"/>
              </w:rPr>
            </w:pPr>
            <w:r w:rsidRPr="00AE7F93">
              <w:rPr>
                <w:color w:val="000000" w:themeColor="text1"/>
              </w:rPr>
              <w:t xml:space="preserve">Type of validation by researchers themselves </w:t>
            </w:r>
          </w:p>
          <w:p w:rsidR="00382745" w:rsidRPr="00AE7F93" w:rsidRDefault="00382745" w:rsidP="00BF63A5">
            <w:pPr>
              <w:rPr>
                <w:color w:val="000000" w:themeColor="text1"/>
              </w:rPr>
            </w:pPr>
          </w:p>
          <w:p w:rsidR="00382745" w:rsidRPr="00AE7F93" w:rsidRDefault="00382745" w:rsidP="00BF63A5">
            <w:pPr>
              <w:rPr>
                <w:color w:val="000000" w:themeColor="text1"/>
              </w:rPr>
            </w:pPr>
          </w:p>
          <w:p w:rsidR="00382745" w:rsidRPr="00AE7F93" w:rsidRDefault="00382745" w:rsidP="00BF63A5">
            <w:pPr>
              <w:rPr>
                <w:color w:val="000000" w:themeColor="text1"/>
              </w:rPr>
            </w:pPr>
          </w:p>
        </w:tc>
        <w:tc>
          <w:tcPr>
            <w:tcW w:w="3750" w:type="dxa"/>
            <w:tcBorders>
              <w:top w:val="single" w:sz="12" w:space="0" w:color="auto"/>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 xml:space="preserve">Is the method molecular weight similar to that of target (in WB) used? </w:t>
            </w:r>
          </w:p>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583" w:type="dxa"/>
            <w:tcBorders>
              <w:top w:val="single" w:sz="12" w:space="0" w:color="auto"/>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b/>
                <w:color w:val="000000" w:themeColor="text1"/>
              </w:rPr>
            </w:pPr>
            <w:r w:rsidRPr="00AE7F93">
              <w:rPr>
                <w:color w:val="000000" w:themeColor="text1"/>
              </w:rPr>
              <w:t>Statements, such as: ‘as expected for this protein, bands were detected at 33 kDa,’ result in a yes.</w:t>
            </w:r>
          </w:p>
        </w:tc>
      </w:tr>
      <w:tr w:rsidR="00AE7F93" w:rsidRPr="002F608E" w:rsidTr="00885643">
        <w:trPr>
          <w:trHeight w:val="715"/>
        </w:trPr>
        <w:tc>
          <w:tcPr>
            <w:cnfStyle w:val="001000000000" w:firstRow="0" w:lastRow="0" w:firstColumn="1" w:lastColumn="0" w:oddVBand="0" w:evenVBand="0" w:oddHBand="0" w:evenHBand="0" w:firstRowFirstColumn="0" w:firstRowLastColumn="0" w:lastRowFirstColumn="0" w:lastRowLastColumn="0"/>
            <w:tcW w:w="1306" w:type="dxa"/>
            <w:vMerge/>
            <w:tcBorders>
              <w:left w:val="nil"/>
              <w:right w:val="nil"/>
            </w:tcBorders>
            <w:shd w:val="clear" w:color="auto" w:fill="F2F2F2" w:themeFill="background1" w:themeFillShade="F2"/>
          </w:tcPr>
          <w:p w:rsidR="00382745" w:rsidRPr="00AE7F93" w:rsidRDefault="00382745" w:rsidP="00BF63A5">
            <w:pPr>
              <w:rPr>
                <w:color w:val="000000" w:themeColor="text1"/>
              </w:rPr>
            </w:pPr>
          </w:p>
        </w:tc>
        <w:tc>
          <w:tcPr>
            <w:tcW w:w="3750"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Is the method spatial localization (similar staining patterns literature/ supplier/ database) used?</w:t>
            </w:r>
          </w:p>
        </w:tc>
        <w:tc>
          <w:tcPr>
            <w:tcW w:w="4583"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Statements, such as: ’the immunostaining pattern was similar to patterns previously found by another research group,’ result in a yes.</w:t>
            </w:r>
          </w:p>
        </w:tc>
      </w:tr>
      <w:tr w:rsidR="00AE7F93" w:rsidRPr="002F608E" w:rsidTr="00885643">
        <w:trPr>
          <w:trHeight w:val="367"/>
        </w:trPr>
        <w:tc>
          <w:tcPr>
            <w:cnfStyle w:val="001000000000" w:firstRow="0" w:lastRow="0" w:firstColumn="1" w:lastColumn="0" w:oddVBand="0" w:evenVBand="0" w:oddHBand="0" w:evenHBand="0" w:firstRowFirstColumn="0" w:firstRowLastColumn="0" w:lastRowFirstColumn="0" w:lastRowLastColumn="0"/>
            <w:tcW w:w="1306" w:type="dxa"/>
            <w:vMerge/>
            <w:tcBorders>
              <w:left w:val="nil"/>
              <w:right w:val="nil"/>
            </w:tcBorders>
            <w:shd w:val="clear" w:color="auto" w:fill="F2F2F2" w:themeFill="background1" w:themeFillShade="F2"/>
          </w:tcPr>
          <w:p w:rsidR="00382745" w:rsidRPr="00AE7F93" w:rsidRDefault="00382745" w:rsidP="00BF63A5">
            <w:pPr>
              <w:rPr>
                <w:color w:val="000000" w:themeColor="text1"/>
              </w:rPr>
            </w:pPr>
          </w:p>
        </w:tc>
        <w:tc>
          <w:tcPr>
            <w:tcW w:w="3750"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Is the method pre-adsorption/ blocking peptide used?</w:t>
            </w:r>
          </w:p>
        </w:tc>
        <w:tc>
          <w:tcPr>
            <w:tcW w:w="4583"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Statements, such as: ‘staining was abolished following pre-adsorption’ result in a yes.</w:t>
            </w:r>
          </w:p>
        </w:tc>
      </w:tr>
      <w:tr w:rsidR="00AE7F93" w:rsidRPr="002F608E" w:rsidTr="00885643">
        <w:trPr>
          <w:trHeight w:val="537"/>
        </w:trPr>
        <w:tc>
          <w:tcPr>
            <w:cnfStyle w:val="001000000000" w:firstRow="0" w:lastRow="0" w:firstColumn="1" w:lastColumn="0" w:oddVBand="0" w:evenVBand="0" w:oddHBand="0" w:evenHBand="0" w:firstRowFirstColumn="0" w:firstRowLastColumn="0" w:lastRowFirstColumn="0" w:lastRowLastColumn="0"/>
            <w:tcW w:w="1306" w:type="dxa"/>
            <w:vMerge/>
            <w:tcBorders>
              <w:left w:val="nil"/>
              <w:right w:val="nil"/>
            </w:tcBorders>
            <w:shd w:val="clear" w:color="auto" w:fill="F2F2F2" w:themeFill="background1" w:themeFillShade="F2"/>
          </w:tcPr>
          <w:p w:rsidR="00382745" w:rsidRPr="00AE7F93" w:rsidRDefault="00382745" w:rsidP="00BF63A5">
            <w:pPr>
              <w:rPr>
                <w:color w:val="000000" w:themeColor="text1"/>
              </w:rPr>
            </w:pPr>
          </w:p>
        </w:tc>
        <w:tc>
          <w:tcPr>
            <w:tcW w:w="3750"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Is a secondary antibody used without a primary one?</w:t>
            </w:r>
          </w:p>
        </w:tc>
        <w:tc>
          <w:tcPr>
            <w:tcW w:w="4583"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Statements, such as: ‘no staining was observed when omitting the primary antibody,’ result in a yes.</w:t>
            </w:r>
          </w:p>
        </w:tc>
      </w:tr>
      <w:tr w:rsidR="00AE7F93" w:rsidRPr="002F608E" w:rsidTr="00885643">
        <w:trPr>
          <w:trHeight w:val="665"/>
        </w:trPr>
        <w:tc>
          <w:tcPr>
            <w:cnfStyle w:val="001000000000" w:firstRow="0" w:lastRow="0" w:firstColumn="1" w:lastColumn="0" w:oddVBand="0" w:evenVBand="0" w:oddHBand="0" w:evenHBand="0" w:firstRowFirstColumn="0" w:firstRowLastColumn="0" w:lastRowFirstColumn="0" w:lastRowLastColumn="0"/>
            <w:tcW w:w="1306" w:type="dxa"/>
            <w:vMerge/>
            <w:tcBorders>
              <w:left w:val="nil"/>
              <w:right w:val="nil"/>
            </w:tcBorders>
            <w:shd w:val="clear" w:color="auto" w:fill="F2F2F2" w:themeFill="background1" w:themeFillShade="F2"/>
          </w:tcPr>
          <w:p w:rsidR="00382745" w:rsidRPr="00AE7F93" w:rsidRDefault="00382745" w:rsidP="00BF63A5">
            <w:pPr>
              <w:rPr>
                <w:color w:val="000000" w:themeColor="text1"/>
              </w:rPr>
            </w:pPr>
          </w:p>
        </w:tc>
        <w:tc>
          <w:tcPr>
            <w:tcW w:w="3750"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Is in situ hybridization used?</w:t>
            </w:r>
            <w:r w:rsidRPr="00AE7F93">
              <w:rPr>
                <w:rStyle w:val="FootnoteReference"/>
                <w:color w:val="000000" w:themeColor="text1"/>
              </w:rPr>
              <w:footnoteReference w:id="1"/>
            </w:r>
          </w:p>
        </w:tc>
        <w:tc>
          <w:tcPr>
            <w:tcW w:w="4583"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Antibody validation does not have to be explicitly mentioned. E.g. if the ISH mRNA pattern of one figure matches the IHC pattern of another figure stained with antibody against same protein.</w:t>
            </w:r>
          </w:p>
        </w:tc>
      </w:tr>
      <w:tr w:rsidR="00AE7F93" w:rsidRPr="002F608E" w:rsidTr="00885643">
        <w:trPr>
          <w:trHeight w:val="504"/>
        </w:trPr>
        <w:tc>
          <w:tcPr>
            <w:cnfStyle w:val="001000000000" w:firstRow="0" w:lastRow="0" w:firstColumn="1" w:lastColumn="0" w:oddVBand="0" w:evenVBand="0" w:oddHBand="0" w:evenHBand="0" w:firstRowFirstColumn="0" w:firstRowLastColumn="0" w:lastRowFirstColumn="0" w:lastRowLastColumn="0"/>
            <w:tcW w:w="1306" w:type="dxa"/>
            <w:vMerge/>
            <w:tcBorders>
              <w:left w:val="nil"/>
              <w:right w:val="nil"/>
            </w:tcBorders>
            <w:shd w:val="clear" w:color="auto" w:fill="F2F2F2" w:themeFill="background1" w:themeFillShade="F2"/>
          </w:tcPr>
          <w:p w:rsidR="00382745" w:rsidRPr="00AE7F93" w:rsidRDefault="00382745" w:rsidP="00BF63A5">
            <w:pPr>
              <w:rPr>
                <w:color w:val="000000" w:themeColor="text1"/>
              </w:rPr>
            </w:pPr>
          </w:p>
        </w:tc>
        <w:tc>
          <w:tcPr>
            <w:tcW w:w="3750"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vertAlign w:val="superscript"/>
              </w:rPr>
            </w:pPr>
            <w:r w:rsidRPr="00AE7F93">
              <w:rPr>
                <w:color w:val="000000" w:themeColor="text1"/>
              </w:rPr>
              <w:t>Are other RNA based methods used?</w:t>
            </w:r>
            <w:r w:rsidRPr="00AE7F93">
              <w:rPr>
                <w:rStyle w:val="FootnoteReference"/>
                <w:color w:val="000000" w:themeColor="text1"/>
              </w:rPr>
              <w:t xml:space="preserve"> </w:t>
            </w:r>
            <w:r w:rsidR="002057A1" w:rsidRPr="00AE7F93">
              <w:rPr>
                <w:color w:val="000000" w:themeColor="text1"/>
                <w:vertAlign w:val="superscript"/>
              </w:rPr>
              <w:t>1</w:t>
            </w:r>
          </w:p>
        </w:tc>
        <w:tc>
          <w:tcPr>
            <w:tcW w:w="4583"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E.g. RNA expression level of protein matches that of protein visualized with antibody.</w:t>
            </w:r>
          </w:p>
        </w:tc>
      </w:tr>
      <w:tr w:rsidR="00AE7F93" w:rsidRPr="002F608E" w:rsidTr="00885643">
        <w:trPr>
          <w:trHeight w:val="1139"/>
        </w:trPr>
        <w:tc>
          <w:tcPr>
            <w:cnfStyle w:val="001000000000" w:firstRow="0" w:lastRow="0" w:firstColumn="1" w:lastColumn="0" w:oddVBand="0" w:evenVBand="0" w:oddHBand="0" w:evenHBand="0" w:firstRowFirstColumn="0" w:firstRowLastColumn="0" w:lastRowFirstColumn="0" w:lastRowLastColumn="0"/>
            <w:tcW w:w="1306" w:type="dxa"/>
            <w:vMerge/>
            <w:tcBorders>
              <w:left w:val="nil"/>
              <w:bottom w:val="single" w:sz="4" w:space="0" w:color="999999" w:themeColor="text1" w:themeTint="66"/>
              <w:right w:val="nil"/>
            </w:tcBorders>
            <w:shd w:val="clear" w:color="auto" w:fill="F2F2F2" w:themeFill="background1" w:themeFillShade="F2"/>
          </w:tcPr>
          <w:p w:rsidR="00382745" w:rsidRPr="00AE7F93" w:rsidRDefault="00382745" w:rsidP="00BF63A5">
            <w:pPr>
              <w:rPr>
                <w:color w:val="000000" w:themeColor="text1"/>
              </w:rPr>
            </w:pPr>
          </w:p>
        </w:tc>
        <w:tc>
          <w:tcPr>
            <w:tcW w:w="3750" w:type="dxa"/>
            <w:tcBorders>
              <w:left w:val="nil"/>
              <w:bottom w:val="single" w:sz="4" w:space="0" w:color="999999" w:themeColor="text1" w:themeTint="66"/>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vertAlign w:val="superscript"/>
              </w:rPr>
            </w:pPr>
            <w:r w:rsidRPr="00AE7F93">
              <w:rPr>
                <w:color w:val="000000" w:themeColor="text1"/>
              </w:rPr>
              <w:t>Are the following methods used?</w:t>
            </w:r>
          </w:p>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vertAlign w:val="superscript"/>
              </w:rPr>
            </w:pPr>
            <w:r w:rsidRPr="00AE7F93">
              <w:rPr>
                <w:color w:val="000000" w:themeColor="text1"/>
              </w:rPr>
              <w:t>Protein array?</w:t>
            </w:r>
            <w:r w:rsidR="002057A1" w:rsidRPr="00AE7F93">
              <w:rPr>
                <w:color w:val="000000" w:themeColor="text1"/>
                <w:vertAlign w:val="superscript"/>
              </w:rPr>
              <w:t>1</w:t>
            </w:r>
          </w:p>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vertAlign w:val="superscript"/>
              </w:rPr>
            </w:pPr>
            <w:r w:rsidRPr="00AE7F93">
              <w:rPr>
                <w:color w:val="000000" w:themeColor="text1"/>
              </w:rPr>
              <w:t>Tissue microarray (TMA)?</w:t>
            </w:r>
            <w:r w:rsidR="002057A1" w:rsidRPr="00AE7F93">
              <w:rPr>
                <w:color w:val="000000" w:themeColor="text1"/>
                <w:vertAlign w:val="superscript"/>
              </w:rPr>
              <w:t>1</w:t>
            </w:r>
          </w:p>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vertAlign w:val="superscript"/>
              </w:rPr>
            </w:pPr>
            <w:r w:rsidRPr="00AE7F93">
              <w:rPr>
                <w:color w:val="000000" w:themeColor="text1"/>
              </w:rPr>
              <w:t>Epitope mapping?</w:t>
            </w:r>
            <w:r w:rsidR="002057A1" w:rsidRPr="00AE7F93">
              <w:rPr>
                <w:color w:val="000000" w:themeColor="text1"/>
                <w:vertAlign w:val="superscript"/>
              </w:rPr>
              <w:t>1</w:t>
            </w:r>
          </w:p>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vertAlign w:val="superscript"/>
              </w:rPr>
            </w:pPr>
            <w:r w:rsidRPr="00AE7F93">
              <w:rPr>
                <w:color w:val="000000" w:themeColor="text1"/>
              </w:rPr>
              <w:t>Affinity measurement?</w:t>
            </w:r>
            <w:r w:rsidR="002057A1" w:rsidRPr="00AE7F93">
              <w:rPr>
                <w:color w:val="000000" w:themeColor="text1"/>
                <w:vertAlign w:val="superscript"/>
              </w:rPr>
              <w:t>1</w:t>
            </w:r>
          </w:p>
        </w:tc>
        <w:tc>
          <w:tcPr>
            <w:tcW w:w="4583"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For an elaborate explanation of these methods see Appendix 2.</w:t>
            </w:r>
          </w:p>
        </w:tc>
      </w:tr>
      <w:tr w:rsidR="00AE7F93" w:rsidRPr="002F608E" w:rsidTr="00885643">
        <w:trPr>
          <w:trHeight w:val="26"/>
        </w:trPr>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999999" w:themeColor="text1" w:themeTint="66"/>
              <w:left w:val="nil"/>
              <w:bottom w:val="single" w:sz="4" w:space="0" w:color="999999" w:themeColor="text1" w:themeTint="66"/>
              <w:right w:val="nil"/>
            </w:tcBorders>
            <w:shd w:val="clear" w:color="auto" w:fill="FFFFFF" w:themeFill="background1"/>
          </w:tcPr>
          <w:p w:rsidR="00382745" w:rsidRPr="00AE7F93" w:rsidRDefault="00382745" w:rsidP="00BF63A5">
            <w:pPr>
              <w:rPr>
                <w:color w:val="000000" w:themeColor="text1"/>
                <w:sz w:val="6"/>
                <w:szCs w:val="6"/>
              </w:rPr>
            </w:pPr>
          </w:p>
        </w:tc>
        <w:tc>
          <w:tcPr>
            <w:tcW w:w="3750" w:type="dxa"/>
            <w:tcBorders>
              <w:top w:val="single" w:sz="4" w:space="0" w:color="999999" w:themeColor="text1" w:themeTint="66"/>
              <w:left w:val="nil"/>
              <w:bottom w:val="single" w:sz="4" w:space="0" w:color="999999" w:themeColor="text1" w:themeTint="66"/>
              <w:right w:val="nil"/>
            </w:tcBorders>
            <w:shd w:val="clear" w:color="auto" w:fill="FFFFFF" w:themeFill="background1"/>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sz w:val="6"/>
                <w:szCs w:val="6"/>
              </w:rPr>
            </w:pPr>
          </w:p>
        </w:tc>
        <w:tc>
          <w:tcPr>
            <w:tcW w:w="4583" w:type="dxa"/>
            <w:tcBorders>
              <w:left w:val="nil"/>
              <w:right w:val="nil"/>
            </w:tcBorders>
            <w:shd w:val="clear" w:color="auto" w:fill="FFFFFF" w:themeFill="background1"/>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sz w:val="6"/>
                <w:szCs w:val="6"/>
              </w:rPr>
            </w:pPr>
          </w:p>
        </w:tc>
      </w:tr>
      <w:tr w:rsidR="00AE7F93" w:rsidRPr="002F608E" w:rsidTr="00885643">
        <w:trPr>
          <w:trHeight w:val="351"/>
        </w:trPr>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999999" w:themeColor="text1" w:themeTint="66"/>
              <w:left w:val="nil"/>
              <w:bottom w:val="single" w:sz="4" w:space="0" w:color="999999" w:themeColor="text1" w:themeTint="66"/>
              <w:right w:val="nil"/>
            </w:tcBorders>
            <w:shd w:val="clear" w:color="auto" w:fill="F2F2F2" w:themeFill="background1" w:themeFillShade="F2"/>
          </w:tcPr>
          <w:p w:rsidR="00382745" w:rsidRPr="00AE7F93" w:rsidRDefault="00382745" w:rsidP="00BF63A5">
            <w:pPr>
              <w:rPr>
                <w:color w:val="000000" w:themeColor="text1"/>
              </w:rPr>
            </w:pPr>
            <w:r w:rsidRPr="00AE7F93">
              <w:rPr>
                <w:color w:val="000000" w:themeColor="text1"/>
              </w:rPr>
              <w:t>Five Pillars</w:t>
            </w:r>
          </w:p>
        </w:tc>
        <w:tc>
          <w:tcPr>
            <w:tcW w:w="3750" w:type="dxa"/>
            <w:tcBorders>
              <w:top w:val="single" w:sz="4" w:space="0" w:color="999999" w:themeColor="text1" w:themeTint="66"/>
              <w:left w:val="nil"/>
              <w:bottom w:val="single" w:sz="4" w:space="0" w:color="999999" w:themeColor="text1" w:themeTint="66"/>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Is five pillar validation used?</w:t>
            </w:r>
          </w:p>
          <w:p w:rsidR="00382745" w:rsidRPr="00AE7F93" w:rsidRDefault="00382745" w:rsidP="00BF63A5">
            <w:pPr>
              <w:pStyle w:val="NoSpacing"/>
              <w:ind w:left="36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583" w:type="dxa"/>
            <w:tcBorders>
              <w:left w:val="nil"/>
              <w:bottom w:val="single" w:sz="4" w:space="0" w:color="999999" w:themeColor="text1" w:themeTint="66"/>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 xml:space="preserve">If answered with yes, questions were answered about the type of five pillar validation. </w:t>
            </w:r>
          </w:p>
        </w:tc>
      </w:tr>
      <w:tr w:rsidR="00AE7F93" w:rsidRPr="002F608E" w:rsidTr="00885643">
        <w:trPr>
          <w:trHeight w:val="393"/>
        </w:trPr>
        <w:tc>
          <w:tcPr>
            <w:cnfStyle w:val="001000000000" w:firstRow="0" w:lastRow="0" w:firstColumn="1" w:lastColumn="0" w:oddVBand="0" w:evenVBand="0" w:oddHBand="0" w:evenHBand="0" w:firstRowFirstColumn="0" w:firstRowLastColumn="0" w:lastRowFirstColumn="0" w:lastRowLastColumn="0"/>
            <w:tcW w:w="1306" w:type="dxa"/>
            <w:vMerge w:val="restart"/>
            <w:tcBorders>
              <w:left w:val="nil"/>
              <w:right w:val="nil"/>
            </w:tcBorders>
            <w:shd w:val="clear" w:color="auto" w:fill="F2F2F2" w:themeFill="background1" w:themeFillShade="F2"/>
          </w:tcPr>
          <w:p w:rsidR="00382745" w:rsidRPr="00AE7F93" w:rsidRDefault="00382745" w:rsidP="00BF63A5">
            <w:pPr>
              <w:rPr>
                <w:color w:val="000000" w:themeColor="text1"/>
              </w:rPr>
            </w:pPr>
            <w:r w:rsidRPr="00AE7F93">
              <w:rPr>
                <w:color w:val="000000" w:themeColor="text1"/>
              </w:rPr>
              <w:t xml:space="preserve">Type five pillar validation </w:t>
            </w:r>
          </w:p>
        </w:tc>
        <w:tc>
          <w:tcPr>
            <w:tcW w:w="3750"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 xml:space="preserve">Is the type genetic strategies used? </w:t>
            </w:r>
          </w:p>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583"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E.g. picture of WB showing staining in wildtype cells but no staining in cells were protein expression was silenced.</w:t>
            </w:r>
          </w:p>
        </w:tc>
      </w:tr>
      <w:tr w:rsidR="00AE7F93" w:rsidRPr="002F608E" w:rsidTr="00885643">
        <w:trPr>
          <w:trHeight w:val="478"/>
        </w:trPr>
        <w:tc>
          <w:tcPr>
            <w:cnfStyle w:val="001000000000" w:firstRow="0" w:lastRow="0" w:firstColumn="1" w:lastColumn="0" w:oddVBand="0" w:evenVBand="0" w:oddHBand="0" w:evenHBand="0" w:firstRowFirstColumn="0" w:firstRowLastColumn="0" w:lastRowFirstColumn="0" w:lastRowLastColumn="0"/>
            <w:tcW w:w="1306" w:type="dxa"/>
            <w:vMerge/>
            <w:tcBorders>
              <w:left w:val="nil"/>
              <w:right w:val="nil"/>
            </w:tcBorders>
            <w:shd w:val="clear" w:color="auto" w:fill="F2F2F2" w:themeFill="background1" w:themeFillShade="F2"/>
          </w:tcPr>
          <w:p w:rsidR="00382745" w:rsidRPr="00AE7F93" w:rsidRDefault="00382745" w:rsidP="00BF63A5">
            <w:pPr>
              <w:rPr>
                <w:color w:val="000000" w:themeColor="text1"/>
                <w:sz w:val="24"/>
                <w:szCs w:val="24"/>
              </w:rPr>
            </w:pPr>
          </w:p>
        </w:tc>
        <w:tc>
          <w:tcPr>
            <w:tcW w:w="3750"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Is the type orthogonal strategies used?</w:t>
            </w:r>
          </w:p>
        </w:tc>
        <w:tc>
          <w:tcPr>
            <w:tcW w:w="4583"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E.g. similar pattern with antibody method and antibody independent method.</w:t>
            </w:r>
          </w:p>
        </w:tc>
      </w:tr>
      <w:tr w:rsidR="00AE7F93" w:rsidRPr="002F608E" w:rsidTr="00885643">
        <w:trPr>
          <w:trHeight w:val="325"/>
        </w:trPr>
        <w:tc>
          <w:tcPr>
            <w:cnfStyle w:val="001000000000" w:firstRow="0" w:lastRow="0" w:firstColumn="1" w:lastColumn="0" w:oddVBand="0" w:evenVBand="0" w:oddHBand="0" w:evenHBand="0" w:firstRowFirstColumn="0" w:firstRowLastColumn="0" w:lastRowFirstColumn="0" w:lastRowLastColumn="0"/>
            <w:tcW w:w="1306" w:type="dxa"/>
            <w:vMerge/>
            <w:tcBorders>
              <w:left w:val="nil"/>
              <w:right w:val="nil"/>
            </w:tcBorders>
            <w:shd w:val="clear" w:color="auto" w:fill="F2F2F2" w:themeFill="background1" w:themeFillShade="F2"/>
          </w:tcPr>
          <w:p w:rsidR="00382745" w:rsidRPr="00AE7F93" w:rsidRDefault="00382745" w:rsidP="00BF63A5">
            <w:pPr>
              <w:rPr>
                <w:color w:val="000000" w:themeColor="text1"/>
                <w:sz w:val="24"/>
                <w:szCs w:val="24"/>
              </w:rPr>
            </w:pPr>
          </w:p>
        </w:tc>
        <w:tc>
          <w:tcPr>
            <w:tcW w:w="3750"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 xml:space="preserve">Is the type independent antibody </w:t>
            </w:r>
            <w:r w:rsidRPr="00AE7F93">
              <w:rPr>
                <w:color w:val="000000" w:themeColor="text1"/>
              </w:rPr>
              <w:lastRenderedPageBreak/>
              <w:t>strategies used?</w:t>
            </w:r>
          </w:p>
        </w:tc>
        <w:tc>
          <w:tcPr>
            <w:tcW w:w="4583"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lastRenderedPageBreak/>
              <w:t xml:space="preserve">Two antibodies against same protein give similar </w:t>
            </w:r>
            <w:r w:rsidRPr="00AE7F93">
              <w:rPr>
                <w:color w:val="000000" w:themeColor="text1"/>
              </w:rPr>
              <w:lastRenderedPageBreak/>
              <w:t>results.</w:t>
            </w:r>
          </w:p>
        </w:tc>
      </w:tr>
      <w:tr w:rsidR="00AE7F93" w:rsidRPr="002F608E" w:rsidTr="00885643">
        <w:trPr>
          <w:trHeight w:val="495"/>
        </w:trPr>
        <w:tc>
          <w:tcPr>
            <w:cnfStyle w:val="001000000000" w:firstRow="0" w:lastRow="0" w:firstColumn="1" w:lastColumn="0" w:oddVBand="0" w:evenVBand="0" w:oddHBand="0" w:evenHBand="0" w:firstRowFirstColumn="0" w:firstRowLastColumn="0" w:lastRowFirstColumn="0" w:lastRowLastColumn="0"/>
            <w:tcW w:w="1306" w:type="dxa"/>
            <w:vMerge/>
            <w:tcBorders>
              <w:left w:val="nil"/>
              <w:right w:val="nil"/>
            </w:tcBorders>
            <w:shd w:val="clear" w:color="auto" w:fill="F2F2F2" w:themeFill="background1" w:themeFillShade="F2"/>
          </w:tcPr>
          <w:p w:rsidR="00382745" w:rsidRPr="00AE7F93" w:rsidRDefault="00382745" w:rsidP="00BF63A5">
            <w:pPr>
              <w:rPr>
                <w:color w:val="000000" w:themeColor="text1"/>
                <w:sz w:val="24"/>
                <w:szCs w:val="24"/>
              </w:rPr>
            </w:pPr>
          </w:p>
        </w:tc>
        <w:tc>
          <w:tcPr>
            <w:tcW w:w="3750"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Is the type expression of tagged protein used?</w:t>
            </w:r>
          </w:p>
        </w:tc>
        <w:tc>
          <w:tcPr>
            <w:tcW w:w="4583"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E.g. tagged protein stained with antibody against tag and with antibody against protein.</w:t>
            </w:r>
          </w:p>
        </w:tc>
      </w:tr>
      <w:tr w:rsidR="00AE7F93" w:rsidRPr="002F608E" w:rsidTr="00885643">
        <w:trPr>
          <w:trHeight w:val="172"/>
        </w:trPr>
        <w:tc>
          <w:tcPr>
            <w:cnfStyle w:val="001000000000" w:firstRow="0" w:lastRow="0" w:firstColumn="1" w:lastColumn="0" w:oddVBand="0" w:evenVBand="0" w:oddHBand="0" w:evenHBand="0" w:firstRowFirstColumn="0" w:firstRowLastColumn="0" w:lastRowFirstColumn="0" w:lastRowLastColumn="0"/>
            <w:tcW w:w="1306" w:type="dxa"/>
            <w:vMerge/>
            <w:tcBorders>
              <w:left w:val="nil"/>
              <w:right w:val="nil"/>
            </w:tcBorders>
            <w:shd w:val="clear" w:color="auto" w:fill="F2F2F2" w:themeFill="background1" w:themeFillShade="F2"/>
          </w:tcPr>
          <w:p w:rsidR="00382745" w:rsidRPr="00AE7F93" w:rsidRDefault="00382745" w:rsidP="00BF63A5">
            <w:pPr>
              <w:rPr>
                <w:color w:val="000000" w:themeColor="text1"/>
                <w:sz w:val="24"/>
                <w:szCs w:val="24"/>
              </w:rPr>
            </w:pPr>
          </w:p>
        </w:tc>
        <w:tc>
          <w:tcPr>
            <w:tcW w:w="3750"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Is the type immunocapture-MS used?</w:t>
            </w:r>
          </w:p>
        </w:tc>
        <w:tc>
          <w:tcPr>
            <w:tcW w:w="4583" w:type="dxa"/>
            <w:tcBorders>
              <w:left w:val="nil"/>
              <w:right w:val="nil"/>
            </w:tcBorders>
            <w:shd w:val="clear" w:color="auto" w:fill="F2F2F2" w:themeFill="background1" w:themeFillShade="F2"/>
          </w:tcPr>
          <w:p w:rsidR="00382745" w:rsidRPr="00AE7F93" w:rsidRDefault="00382745"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E.g. after immunoaffinity purification, proteins were identified with mass spectrometry.</w:t>
            </w:r>
          </w:p>
        </w:tc>
      </w:tr>
      <w:tr w:rsidR="00AE7F93" w:rsidRPr="002F608E" w:rsidTr="00885643">
        <w:trPr>
          <w:trHeight w:val="26"/>
        </w:trPr>
        <w:tc>
          <w:tcPr>
            <w:cnfStyle w:val="001000000000" w:firstRow="0" w:lastRow="0" w:firstColumn="1" w:lastColumn="0" w:oddVBand="0" w:evenVBand="0" w:oddHBand="0" w:evenHBand="0" w:firstRowFirstColumn="0" w:firstRowLastColumn="0" w:lastRowFirstColumn="0" w:lastRowLastColumn="0"/>
            <w:tcW w:w="1306" w:type="dxa"/>
            <w:tcBorders>
              <w:left w:val="nil"/>
              <w:right w:val="nil"/>
            </w:tcBorders>
            <w:shd w:val="clear" w:color="auto" w:fill="FFFFFF" w:themeFill="background1"/>
          </w:tcPr>
          <w:p w:rsidR="00885643" w:rsidRPr="00AE7F93" w:rsidRDefault="00885643" w:rsidP="00BF63A5">
            <w:pPr>
              <w:rPr>
                <w:color w:val="000000" w:themeColor="text1"/>
                <w:sz w:val="6"/>
                <w:szCs w:val="6"/>
              </w:rPr>
            </w:pPr>
          </w:p>
        </w:tc>
        <w:tc>
          <w:tcPr>
            <w:tcW w:w="3750" w:type="dxa"/>
            <w:tcBorders>
              <w:left w:val="nil"/>
              <w:right w:val="nil"/>
            </w:tcBorders>
            <w:shd w:val="clear" w:color="auto" w:fill="FFFFFF" w:themeFill="background1"/>
          </w:tcPr>
          <w:p w:rsidR="00885643" w:rsidRPr="00AE7F93" w:rsidRDefault="00885643"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sz w:val="6"/>
                <w:szCs w:val="6"/>
              </w:rPr>
            </w:pPr>
          </w:p>
        </w:tc>
        <w:tc>
          <w:tcPr>
            <w:tcW w:w="4583" w:type="dxa"/>
            <w:tcBorders>
              <w:left w:val="nil"/>
              <w:right w:val="nil"/>
            </w:tcBorders>
            <w:shd w:val="clear" w:color="auto" w:fill="FFFFFF" w:themeFill="background1"/>
          </w:tcPr>
          <w:p w:rsidR="00885643" w:rsidRPr="00AE7F93" w:rsidRDefault="00885643" w:rsidP="00BF63A5">
            <w:pPr>
              <w:pStyle w:val="NoSpacing"/>
              <w:cnfStyle w:val="000000000000" w:firstRow="0" w:lastRow="0" w:firstColumn="0" w:lastColumn="0" w:oddVBand="0" w:evenVBand="0" w:oddHBand="0" w:evenHBand="0" w:firstRowFirstColumn="0" w:firstRowLastColumn="0" w:lastRowFirstColumn="0" w:lastRowLastColumn="0"/>
              <w:rPr>
                <w:color w:val="000000" w:themeColor="text1"/>
                <w:sz w:val="6"/>
                <w:szCs w:val="6"/>
              </w:rPr>
            </w:pPr>
          </w:p>
        </w:tc>
      </w:tr>
      <w:tr w:rsidR="00AE7F93" w:rsidRPr="00AE7F93" w:rsidTr="00BF63A5">
        <w:trPr>
          <w:trHeight w:val="631"/>
        </w:trPr>
        <w:tc>
          <w:tcPr>
            <w:cnfStyle w:val="001000000000" w:firstRow="0" w:lastRow="0" w:firstColumn="1" w:lastColumn="0" w:oddVBand="0" w:evenVBand="0" w:oddHBand="0" w:evenHBand="0" w:firstRowFirstColumn="0" w:firstRowLastColumn="0" w:lastRowFirstColumn="0" w:lastRowLastColumn="0"/>
            <w:tcW w:w="9639" w:type="dxa"/>
            <w:gridSpan w:val="3"/>
            <w:tcBorders>
              <w:left w:val="nil"/>
              <w:bottom w:val="nil"/>
              <w:right w:val="nil"/>
            </w:tcBorders>
            <w:shd w:val="clear" w:color="auto" w:fill="F2F2F2" w:themeFill="background1" w:themeFillShade="F2"/>
          </w:tcPr>
          <w:tbl>
            <w:tblPr>
              <w:tblStyle w:val="GridTable1Light1"/>
              <w:tblW w:w="9623" w:type="dxa"/>
              <w:tblLayout w:type="fixed"/>
              <w:tblCellMar>
                <w:top w:w="29" w:type="dxa"/>
                <w:left w:w="115" w:type="dxa"/>
                <w:bottom w:w="29" w:type="dxa"/>
                <w:right w:w="115" w:type="dxa"/>
              </w:tblCellMar>
              <w:tblLook w:val="04A0" w:firstRow="1" w:lastRow="0" w:firstColumn="1" w:lastColumn="0" w:noHBand="0" w:noVBand="1"/>
            </w:tblPr>
            <w:tblGrid>
              <w:gridCol w:w="1155"/>
              <w:gridCol w:w="3827"/>
              <w:gridCol w:w="4641"/>
            </w:tblGrid>
            <w:tr w:rsidR="00AE7F93" w:rsidRPr="002F608E" w:rsidTr="00693B85">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1155" w:type="dxa"/>
                  <w:tcBorders>
                    <w:top w:val="nil"/>
                    <w:left w:val="nil"/>
                    <w:bottom w:val="single" w:sz="4" w:space="0" w:color="auto"/>
                    <w:right w:val="nil"/>
                  </w:tcBorders>
                  <w:shd w:val="clear" w:color="auto" w:fill="F2F2F2" w:themeFill="background1" w:themeFillShade="F2"/>
                </w:tcPr>
                <w:p w:rsidR="00885643" w:rsidRPr="00AE7F93" w:rsidRDefault="00885643" w:rsidP="00885643">
                  <w:pPr>
                    <w:rPr>
                      <w:color w:val="000000" w:themeColor="text1"/>
                    </w:rPr>
                  </w:pPr>
                  <w:r w:rsidRPr="00AE7F93">
                    <w:rPr>
                      <w:color w:val="000000" w:themeColor="text1"/>
                    </w:rPr>
                    <w:t>Positive control</w:t>
                  </w:r>
                </w:p>
              </w:tc>
              <w:tc>
                <w:tcPr>
                  <w:tcW w:w="3827" w:type="dxa"/>
                  <w:tcBorders>
                    <w:top w:val="nil"/>
                    <w:left w:val="nil"/>
                    <w:bottom w:val="single" w:sz="4" w:space="0" w:color="auto"/>
                    <w:right w:val="nil"/>
                  </w:tcBorders>
                  <w:shd w:val="clear" w:color="auto" w:fill="F2F2F2" w:themeFill="background1" w:themeFillShade="F2"/>
                </w:tcPr>
                <w:p w:rsidR="00885643" w:rsidRPr="00AE7F93" w:rsidRDefault="00885643" w:rsidP="00885643">
                  <w:pPr>
                    <w:pStyle w:val="NoSpacing"/>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AE7F93">
                    <w:rPr>
                      <w:b w:val="0"/>
                      <w:bCs w:val="0"/>
                      <w:color w:val="000000" w:themeColor="text1"/>
                    </w:rPr>
                    <w:t xml:space="preserve">Was a positive control used? </w:t>
                  </w:r>
                </w:p>
              </w:tc>
              <w:tc>
                <w:tcPr>
                  <w:tcW w:w="4641" w:type="dxa"/>
                  <w:tcBorders>
                    <w:top w:val="nil"/>
                    <w:left w:val="nil"/>
                    <w:bottom w:val="single" w:sz="4" w:space="0" w:color="auto"/>
                    <w:right w:val="nil"/>
                  </w:tcBorders>
                  <w:shd w:val="clear" w:color="auto" w:fill="F2F2F2" w:themeFill="background1" w:themeFillShade="F2"/>
                </w:tcPr>
                <w:p w:rsidR="00885643" w:rsidRPr="00AE7F93" w:rsidRDefault="00885643" w:rsidP="00885643">
                  <w:pPr>
                    <w:pStyle w:val="NoSpacing"/>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AE7F93">
                    <w:rPr>
                      <w:b w:val="0"/>
                      <w:bCs w:val="0"/>
                      <w:color w:val="000000" w:themeColor="text1"/>
                    </w:rPr>
                    <w:t xml:space="preserve">If answered with yes, questions were answered about the type of positive control that was used. </w:t>
                  </w:r>
                </w:p>
              </w:tc>
            </w:tr>
            <w:tr w:rsidR="00AE7F93" w:rsidRPr="002F608E" w:rsidTr="00693B85">
              <w:trPr>
                <w:trHeight w:val="327"/>
              </w:trPr>
              <w:tc>
                <w:tcPr>
                  <w:cnfStyle w:val="001000000000" w:firstRow="0" w:lastRow="0" w:firstColumn="1" w:lastColumn="0" w:oddVBand="0" w:evenVBand="0" w:oddHBand="0" w:evenHBand="0" w:firstRowFirstColumn="0" w:firstRowLastColumn="0" w:lastRowFirstColumn="0" w:lastRowLastColumn="0"/>
                  <w:tcW w:w="1155" w:type="dxa"/>
                  <w:vMerge w:val="restart"/>
                  <w:tcBorders>
                    <w:top w:val="single" w:sz="4" w:space="0" w:color="auto"/>
                    <w:left w:val="nil"/>
                    <w:bottom w:val="nil"/>
                    <w:right w:val="nil"/>
                  </w:tcBorders>
                  <w:shd w:val="clear" w:color="auto" w:fill="F2F2F2" w:themeFill="background1" w:themeFillShade="F2"/>
                </w:tcPr>
                <w:p w:rsidR="00885643" w:rsidRPr="00AE7F93" w:rsidRDefault="00885643" w:rsidP="00885643">
                  <w:pPr>
                    <w:rPr>
                      <w:color w:val="000000" w:themeColor="text1"/>
                    </w:rPr>
                  </w:pPr>
                  <w:r w:rsidRPr="00AE7F93">
                    <w:rPr>
                      <w:color w:val="000000" w:themeColor="text1"/>
                    </w:rPr>
                    <w:t>Type of positive control</w:t>
                  </w:r>
                </w:p>
              </w:tc>
              <w:tc>
                <w:tcPr>
                  <w:tcW w:w="3827" w:type="dxa"/>
                  <w:tcBorders>
                    <w:top w:val="single" w:sz="4" w:space="0" w:color="auto"/>
                    <w:left w:val="nil"/>
                    <w:bottom w:val="single" w:sz="4" w:space="0" w:color="auto"/>
                    <w:right w:val="nil"/>
                  </w:tcBorders>
                  <w:shd w:val="clear" w:color="auto" w:fill="F2F2F2" w:themeFill="background1" w:themeFillShade="F2"/>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Was a purified target or recombinant protein used?</w:t>
                  </w:r>
                </w:p>
              </w:tc>
              <w:tc>
                <w:tcPr>
                  <w:tcW w:w="4641" w:type="dxa"/>
                  <w:tcBorders>
                    <w:top w:val="single" w:sz="4" w:space="0" w:color="auto"/>
                    <w:left w:val="nil"/>
                    <w:bottom w:val="single" w:sz="4" w:space="0" w:color="auto"/>
                    <w:right w:val="nil"/>
                  </w:tcBorders>
                  <w:shd w:val="clear" w:color="auto" w:fill="F2F2F2" w:themeFill="background1" w:themeFillShade="F2"/>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E7F93" w:rsidRPr="002F608E" w:rsidTr="00693B85">
              <w:trPr>
                <w:trHeight w:val="590"/>
              </w:trPr>
              <w:tc>
                <w:tcPr>
                  <w:cnfStyle w:val="001000000000" w:firstRow="0" w:lastRow="0" w:firstColumn="1" w:lastColumn="0" w:oddVBand="0" w:evenVBand="0" w:oddHBand="0" w:evenHBand="0" w:firstRowFirstColumn="0" w:firstRowLastColumn="0" w:lastRowFirstColumn="0" w:lastRowLastColumn="0"/>
                  <w:tcW w:w="1155" w:type="dxa"/>
                  <w:vMerge/>
                  <w:tcBorders>
                    <w:top w:val="nil"/>
                    <w:left w:val="nil"/>
                    <w:right w:val="nil"/>
                  </w:tcBorders>
                  <w:shd w:val="clear" w:color="auto" w:fill="F2F2F2" w:themeFill="background1" w:themeFillShade="F2"/>
                </w:tcPr>
                <w:p w:rsidR="00885643" w:rsidRPr="00AE7F93" w:rsidRDefault="00885643" w:rsidP="00885643">
                  <w:pPr>
                    <w:rPr>
                      <w:color w:val="000000" w:themeColor="text1"/>
                    </w:rPr>
                  </w:pPr>
                </w:p>
              </w:tc>
              <w:tc>
                <w:tcPr>
                  <w:tcW w:w="3827" w:type="dxa"/>
                  <w:tcBorders>
                    <w:top w:val="single" w:sz="4" w:space="0" w:color="auto"/>
                    <w:left w:val="nil"/>
                    <w:right w:val="nil"/>
                  </w:tcBorders>
                  <w:shd w:val="clear" w:color="auto" w:fill="F2F2F2" w:themeFill="background1" w:themeFillShade="F2"/>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 xml:space="preserve">Were transfected or transgenic samples used? </w:t>
                  </w:r>
                </w:p>
                <w:p w:rsidR="00885643" w:rsidRPr="00AE7F93" w:rsidRDefault="00885643" w:rsidP="00885643">
                  <w:pPr>
                    <w:pStyle w:val="NoSpacing"/>
                    <w:ind w:left="360"/>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641" w:type="dxa"/>
                  <w:tcBorders>
                    <w:top w:val="single" w:sz="4" w:space="0" w:color="auto"/>
                    <w:left w:val="nil"/>
                    <w:right w:val="nil"/>
                  </w:tcBorders>
                  <w:shd w:val="clear" w:color="auto" w:fill="F2F2F2" w:themeFill="background1" w:themeFillShade="F2"/>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E.g. expression of tagged protein only detected in samples from mice that were treated with plasmid containing protein’s DNA and not in control mice.</w:t>
                  </w:r>
                </w:p>
              </w:tc>
            </w:tr>
            <w:tr w:rsidR="00AE7F93" w:rsidRPr="002F608E" w:rsidTr="00885643">
              <w:trPr>
                <w:trHeight w:val="463"/>
              </w:trPr>
              <w:tc>
                <w:tcPr>
                  <w:cnfStyle w:val="001000000000" w:firstRow="0" w:lastRow="0" w:firstColumn="1" w:lastColumn="0" w:oddVBand="0" w:evenVBand="0" w:oddHBand="0" w:evenHBand="0" w:firstRowFirstColumn="0" w:firstRowLastColumn="0" w:lastRowFirstColumn="0" w:lastRowLastColumn="0"/>
                  <w:tcW w:w="1155" w:type="dxa"/>
                  <w:vMerge/>
                  <w:tcBorders>
                    <w:left w:val="nil"/>
                    <w:right w:val="nil"/>
                  </w:tcBorders>
                  <w:shd w:val="clear" w:color="auto" w:fill="F2F2F2" w:themeFill="background1" w:themeFillShade="F2"/>
                </w:tcPr>
                <w:p w:rsidR="00885643" w:rsidRPr="00AE7F93" w:rsidRDefault="00885643" w:rsidP="00885643">
                  <w:pPr>
                    <w:rPr>
                      <w:color w:val="000000" w:themeColor="text1"/>
                    </w:rPr>
                  </w:pPr>
                </w:p>
              </w:tc>
              <w:tc>
                <w:tcPr>
                  <w:tcW w:w="3827" w:type="dxa"/>
                  <w:tcBorders>
                    <w:left w:val="nil"/>
                    <w:right w:val="nil"/>
                  </w:tcBorders>
                  <w:shd w:val="clear" w:color="auto" w:fill="F2F2F2" w:themeFill="background1" w:themeFillShade="F2"/>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Was a sample known to express the target used?</w:t>
                  </w:r>
                </w:p>
              </w:tc>
              <w:tc>
                <w:tcPr>
                  <w:tcW w:w="4641" w:type="dxa"/>
                  <w:tcBorders>
                    <w:left w:val="nil"/>
                    <w:right w:val="nil"/>
                  </w:tcBorders>
                  <w:shd w:val="clear" w:color="auto" w:fill="F2F2F2" w:themeFill="background1" w:themeFillShade="F2"/>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E.g. tagged protein used in reaction, and then reaction mixture was analyzed with WB.</w:t>
                  </w:r>
                  <w:r w:rsidRPr="00AE7F93">
                    <w:rPr>
                      <w:color w:val="000000" w:themeColor="text1"/>
                    </w:rPr>
                    <w:tab/>
                  </w:r>
                </w:p>
              </w:tc>
            </w:tr>
            <w:tr w:rsidR="00AE7F93" w:rsidRPr="002F608E" w:rsidTr="00885643">
              <w:trPr>
                <w:trHeight w:val="505"/>
              </w:trPr>
              <w:tc>
                <w:tcPr>
                  <w:cnfStyle w:val="001000000000" w:firstRow="0" w:lastRow="0" w:firstColumn="1" w:lastColumn="0" w:oddVBand="0" w:evenVBand="0" w:oddHBand="0" w:evenHBand="0" w:firstRowFirstColumn="0" w:firstRowLastColumn="0" w:lastRowFirstColumn="0" w:lastRowLastColumn="0"/>
                  <w:tcW w:w="1155" w:type="dxa"/>
                  <w:vMerge/>
                  <w:tcBorders>
                    <w:left w:val="nil"/>
                    <w:right w:val="nil"/>
                  </w:tcBorders>
                  <w:shd w:val="clear" w:color="auto" w:fill="F2F2F2" w:themeFill="background1" w:themeFillShade="F2"/>
                </w:tcPr>
                <w:p w:rsidR="00885643" w:rsidRPr="00AE7F93" w:rsidRDefault="00885643" w:rsidP="00885643">
                  <w:pPr>
                    <w:rPr>
                      <w:color w:val="000000" w:themeColor="text1"/>
                    </w:rPr>
                  </w:pPr>
                </w:p>
              </w:tc>
              <w:tc>
                <w:tcPr>
                  <w:tcW w:w="3827" w:type="dxa"/>
                  <w:tcBorders>
                    <w:left w:val="nil"/>
                    <w:right w:val="nil"/>
                  </w:tcBorders>
                  <w:shd w:val="clear" w:color="auto" w:fill="F2F2F2" w:themeFill="background1" w:themeFillShade="F2"/>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Was another positive control method used?</w:t>
                  </w:r>
                </w:p>
              </w:tc>
              <w:tc>
                <w:tcPr>
                  <w:tcW w:w="4641" w:type="dxa"/>
                  <w:tcBorders>
                    <w:left w:val="nil"/>
                    <w:right w:val="nil"/>
                  </w:tcBorders>
                  <w:shd w:val="clear" w:color="auto" w:fill="F2F2F2" w:themeFill="background1" w:themeFillShade="F2"/>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E7F93" w:rsidRPr="002F608E" w:rsidTr="00885643">
              <w:trPr>
                <w:trHeight w:val="26"/>
              </w:trPr>
              <w:tc>
                <w:tcPr>
                  <w:cnfStyle w:val="001000000000" w:firstRow="0" w:lastRow="0" w:firstColumn="1" w:lastColumn="0" w:oddVBand="0" w:evenVBand="0" w:oddHBand="0" w:evenHBand="0" w:firstRowFirstColumn="0" w:firstRowLastColumn="0" w:lastRowFirstColumn="0" w:lastRowLastColumn="0"/>
                  <w:tcW w:w="1155" w:type="dxa"/>
                  <w:tcBorders>
                    <w:left w:val="nil"/>
                    <w:right w:val="nil"/>
                  </w:tcBorders>
                  <w:shd w:val="clear" w:color="auto" w:fill="FFFFFF" w:themeFill="background1"/>
                </w:tcPr>
                <w:p w:rsidR="00885643" w:rsidRPr="00AE7F93" w:rsidRDefault="00885643" w:rsidP="00885643">
                  <w:pPr>
                    <w:rPr>
                      <w:color w:val="000000" w:themeColor="text1"/>
                      <w:sz w:val="6"/>
                      <w:szCs w:val="6"/>
                    </w:rPr>
                  </w:pPr>
                </w:p>
              </w:tc>
              <w:tc>
                <w:tcPr>
                  <w:tcW w:w="3827" w:type="dxa"/>
                  <w:tcBorders>
                    <w:left w:val="nil"/>
                    <w:right w:val="nil"/>
                  </w:tcBorders>
                  <w:shd w:val="clear" w:color="auto" w:fill="FFFFFF" w:themeFill="background1"/>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sz w:val="6"/>
                      <w:szCs w:val="6"/>
                    </w:rPr>
                  </w:pPr>
                </w:p>
              </w:tc>
              <w:tc>
                <w:tcPr>
                  <w:tcW w:w="4641" w:type="dxa"/>
                  <w:tcBorders>
                    <w:left w:val="nil"/>
                    <w:right w:val="nil"/>
                  </w:tcBorders>
                  <w:shd w:val="clear" w:color="auto" w:fill="FFFFFF" w:themeFill="background1"/>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sz w:val="6"/>
                      <w:szCs w:val="6"/>
                    </w:rPr>
                  </w:pPr>
                </w:p>
              </w:tc>
            </w:tr>
            <w:tr w:rsidR="00AE7F93" w:rsidRPr="002F608E" w:rsidTr="00885643">
              <w:trPr>
                <w:trHeight w:val="327"/>
              </w:trPr>
              <w:tc>
                <w:tcPr>
                  <w:cnfStyle w:val="001000000000" w:firstRow="0" w:lastRow="0" w:firstColumn="1" w:lastColumn="0" w:oddVBand="0" w:evenVBand="0" w:oddHBand="0" w:evenHBand="0" w:firstRowFirstColumn="0" w:firstRowLastColumn="0" w:lastRowFirstColumn="0" w:lastRowLastColumn="0"/>
                  <w:tcW w:w="1155" w:type="dxa"/>
                  <w:tcBorders>
                    <w:left w:val="nil"/>
                    <w:right w:val="nil"/>
                  </w:tcBorders>
                  <w:shd w:val="clear" w:color="auto" w:fill="F2F2F2" w:themeFill="background1" w:themeFillShade="F2"/>
                </w:tcPr>
                <w:p w:rsidR="00885643" w:rsidRPr="00AE7F93" w:rsidRDefault="00885643" w:rsidP="00885643">
                  <w:pPr>
                    <w:rPr>
                      <w:color w:val="000000" w:themeColor="text1"/>
                    </w:rPr>
                  </w:pPr>
                  <w:r w:rsidRPr="00AE7F93">
                    <w:rPr>
                      <w:color w:val="000000" w:themeColor="text1"/>
                    </w:rPr>
                    <w:t>Negative control</w:t>
                  </w:r>
                </w:p>
              </w:tc>
              <w:tc>
                <w:tcPr>
                  <w:tcW w:w="3827" w:type="dxa"/>
                  <w:tcBorders>
                    <w:left w:val="nil"/>
                    <w:right w:val="nil"/>
                  </w:tcBorders>
                  <w:shd w:val="clear" w:color="auto" w:fill="F2F2F2" w:themeFill="background1" w:themeFillShade="F2"/>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Was a negative control used?</w:t>
                  </w:r>
                  <w:r w:rsidRPr="00AE7F93">
                    <w:rPr>
                      <w:color w:val="000000" w:themeColor="text1"/>
                    </w:rPr>
                    <w:tab/>
                  </w:r>
                </w:p>
              </w:tc>
              <w:tc>
                <w:tcPr>
                  <w:tcW w:w="4641" w:type="dxa"/>
                  <w:tcBorders>
                    <w:left w:val="nil"/>
                    <w:right w:val="nil"/>
                  </w:tcBorders>
                  <w:shd w:val="clear" w:color="auto" w:fill="F2F2F2" w:themeFill="background1" w:themeFillShade="F2"/>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If answered with yes, questions were answered about the type of negative control that was used.</w:t>
                  </w:r>
                </w:p>
              </w:tc>
            </w:tr>
            <w:tr w:rsidR="00AE7F93" w:rsidRPr="002F608E" w:rsidTr="00885643">
              <w:trPr>
                <w:trHeight w:val="327"/>
              </w:trPr>
              <w:tc>
                <w:tcPr>
                  <w:cnfStyle w:val="001000000000" w:firstRow="0" w:lastRow="0" w:firstColumn="1" w:lastColumn="0" w:oddVBand="0" w:evenVBand="0" w:oddHBand="0" w:evenHBand="0" w:firstRowFirstColumn="0" w:firstRowLastColumn="0" w:lastRowFirstColumn="0" w:lastRowLastColumn="0"/>
                  <w:tcW w:w="1155" w:type="dxa"/>
                  <w:vMerge w:val="restart"/>
                  <w:tcBorders>
                    <w:left w:val="nil"/>
                    <w:right w:val="nil"/>
                  </w:tcBorders>
                  <w:shd w:val="clear" w:color="auto" w:fill="F2F2F2" w:themeFill="background1" w:themeFillShade="F2"/>
                </w:tcPr>
                <w:p w:rsidR="00885643" w:rsidRPr="00AE7F93" w:rsidRDefault="00885643" w:rsidP="00885643">
                  <w:pPr>
                    <w:rPr>
                      <w:color w:val="000000" w:themeColor="text1"/>
                    </w:rPr>
                  </w:pPr>
                  <w:r w:rsidRPr="00AE7F93">
                    <w:rPr>
                      <w:color w:val="000000" w:themeColor="text1"/>
                    </w:rPr>
                    <w:t>Type of negative control</w:t>
                  </w:r>
                </w:p>
              </w:tc>
              <w:tc>
                <w:tcPr>
                  <w:tcW w:w="3827" w:type="dxa"/>
                  <w:tcBorders>
                    <w:left w:val="nil"/>
                    <w:right w:val="nil"/>
                  </w:tcBorders>
                  <w:shd w:val="clear" w:color="auto" w:fill="F2F2F2" w:themeFill="background1" w:themeFillShade="F2"/>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Was a knockout sample used?</w:t>
                  </w:r>
                </w:p>
              </w:tc>
              <w:tc>
                <w:tcPr>
                  <w:tcW w:w="4641" w:type="dxa"/>
                  <w:tcBorders>
                    <w:left w:val="nil"/>
                    <w:right w:val="nil"/>
                  </w:tcBorders>
                  <w:shd w:val="clear" w:color="auto" w:fill="F2F2F2" w:themeFill="background1" w:themeFillShade="F2"/>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E7F93" w:rsidRPr="002F608E" w:rsidTr="00885643">
              <w:trPr>
                <w:trHeight w:val="327"/>
              </w:trPr>
              <w:tc>
                <w:tcPr>
                  <w:cnfStyle w:val="001000000000" w:firstRow="0" w:lastRow="0" w:firstColumn="1" w:lastColumn="0" w:oddVBand="0" w:evenVBand="0" w:oddHBand="0" w:evenHBand="0" w:firstRowFirstColumn="0" w:firstRowLastColumn="0" w:lastRowFirstColumn="0" w:lastRowLastColumn="0"/>
                  <w:tcW w:w="1155" w:type="dxa"/>
                  <w:vMerge/>
                  <w:tcBorders>
                    <w:left w:val="nil"/>
                    <w:right w:val="nil"/>
                  </w:tcBorders>
                  <w:shd w:val="clear" w:color="auto" w:fill="F2F2F2" w:themeFill="background1" w:themeFillShade="F2"/>
                </w:tcPr>
                <w:p w:rsidR="00885643" w:rsidRPr="00AE7F93" w:rsidRDefault="00885643" w:rsidP="00885643">
                  <w:pPr>
                    <w:rPr>
                      <w:color w:val="000000" w:themeColor="text1"/>
                    </w:rPr>
                  </w:pPr>
                </w:p>
              </w:tc>
              <w:tc>
                <w:tcPr>
                  <w:tcW w:w="3827" w:type="dxa"/>
                  <w:tcBorders>
                    <w:left w:val="nil"/>
                    <w:right w:val="nil"/>
                  </w:tcBorders>
                  <w:shd w:val="clear" w:color="auto" w:fill="F2F2F2" w:themeFill="background1" w:themeFillShade="F2"/>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Was siRNA/blocking RNA used?</w:t>
                  </w:r>
                </w:p>
              </w:tc>
              <w:tc>
                <w:tcPr>
                  <w:tcW w:w="4641" w:type="dxa"/>
                  <w:tcBorders>
                    <w:left w:val="nil"/>
                    <w:right w:val="nil"/>
                  </w:tcBorders>
                  <w:shd w:val="clear" w:color="auto" w:fill="F2F2F2" w:themeFill="background1" w:themeFillShade="F2"/>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E7F93" w:rsidRPr="002F608E" w:rsidTr="00885643">
              <w:trPr>
                <w:trHeight w:val="327"/>
              </w:trPr>
              <w:tc>
                <w:tcPr>
                  <w:cnfStyle w:val="001000000000" w:firstRow="0" w:lastRow="0" w:firstColumn="1" w:lastColumn="0" w:oddVBand="0" w:evenVBand="0" w:oddHBand="0" w:evenHBand="0" w:firstRowFirstColumn="0" w:firstRowLastColumn="0" w:lastRowFirstColumn="0" w:lastRowLastColumn="0"/>
                  <w:tcW w:w="1155" w:type="dxa"/>
                  <w:vMerge/>
                  <w:tcBorders>
                    <w:left w:val="nil"/>
                    <w:right w:val="nil"/>
                  </w:tcBorders>
                  <w:shd w:val="clear" w:color="auto" w:fill="F2F2F2" w:themeFill="background1" w:themeFillShade="F2"/>
                </w:tcPr>
                <w:p w:rsidR="00885643" w:rsidRPr="00AE7F93" w:rsidRDefault="00885643" w:rsidP="00885643">
                  <w:pPr>
                    <w:rPr>
                      <w:color w:val="000000" w:themeColor="text1"/>
                    </w:rPr>
                  </w:pPr>
                </w:p>
              </w:tc>
              <w:tc>
                <w:tcPr>
                  <w:tcW w:w="3827" w:type="dxa"/>
                  <w:tcBorders>
                    <w:left w:val="nil"/>
                    <w:right w:val="nil"/>
                  </w:tcBorders>
                  <w:shd w:val="clear" w:color="auto" w:fill="F2F2F2" w:themeFill="background1" w:themeFillShade="F2"/>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Were non-transgenic or non-transfected samples used?</w:t>
                  </w:r>
                </w:p>
              </w:tc>
              <w:tc>
                <w:tcPr>
                  <w:tcW w:w="4641" w:type="dxa"/>
                  <w:tcBorders>
                    <w:left w:val="nil"/>
                    <w:right w:val="nil"/>
                  </w:tcBorders>
                  <w:shd w:val="clear" w:color="auto" w:fill="F2F2F2" w:themeFill="background1" w:themeFillShade="F2"/>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E.g. tagged protein is expressed and antibody is used to detect this protein, but antibody is also used in wild type sample, which then counts as a negative control.</w:t>
                  </w:r>
                </w:p>
              </w:tc>
            </w:tr>
            <w:tr w:rsidR="00AE7F93" w:rsidRPr="002F608E" w:rsidTr="00885643">
              <w:trPr>
                <w:trHeight w:val="327"/>
              </w:trPr>
              <w:tc>
                <w:tcPr>
                  <w:cnfStyle w:val="001000000000" w:firstRow="0" w:lastRow="0" w:firstColumn="1" w:lastColumn="0" w:oddVBand="0" w:evenVBand="0" w:oddHBand="0" w:evenHBand="0" w:firstRowFirstColumn="0" w:firstRowLastColumn="0" w:lastRowFirstColumn="0" w:lastRowLastColumn="0"/>
                  <w:tcW w:w="1155" w:type="dxa"/>
                  <w:vMerge/>
                  <w:tcBorders>
                    <w:left w:val="nil"/>
                    <w:right w:val="nil"/>
                  </w:tcBorders>
                  <w:shd w:val="clear" w:color="auto" w:fill="F2F2F2" w:themeFill="background1" w:themeFillShade="F2"/>
                </w:tcPr>
                <w:p w:rsidR="00885643" w:rsidRPr="00AE7F93" w:rsidRDefault="00885643" w:rsidP="00885643">
                  <w:pPr>
                    <w:rPr>
                      <w:color w:val="000000" w:themeColor="text1"/>
                    </w:rPr>
                  </w:pPr>
                </w:p>
              </w:tc>
              <w:tc>
                <w:tcPr>
                  <w:tcW w:w="3827" w:type="dxa"/>
                  <w:tcBorders>
                    <w:left w:val="nil"/>
                    <w:right w:val="nil"/>
                  </w:tcBorders>
                  <w:shd w:val="clear" w:color="auto" w:fill="F2F2F2" w:themeFill="background1" w:themeFillShade="F2"/>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Is a sample, which is known not to express the target, used?</w:t>
                  </w:r>
                </w:p>
              </w:tc>
              <w:tc>
                <w:tcPr>
                  <w:tcW w:w="4641" w:type="dxa"/>
                  <w:tcBorders>
                    <w:left w:val="nil"/>
                    <w:right w:val="nil"/>
                  </w:tcBorders>
                  <w:shd w:val="clear" w:color="auto" w:fill="F2F2F2" w:themeFill="background1" w:themeFillShade="F2"/>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E.g. no staining of samples where chemical reaction was used to cleave off part of the protein antibodies bind to.</w:t>
                  </w:r>
                </w:p>
              </w:tc>
            </w:tr>
            <w:tr w:rsidR="00AE7F93" w:rsidRPr="002F608E" w:rsidTr="00885643">
              <w:trPr>
                <w:trHeight w:val="327"/>
              </w:trPr>
              <w:tc>
                <w:tcPr>
                  <w:cnfStyle w:val="001000000000" w:firstRow="0" w:lastRow="0" w:firstColumn="1" w:lastColumn="0" w:oddVBand="0" w:evenVBand="0" w:oddHBand="0" w:evenHBand="0" w:firstRowFirstColumn="0" w:firstRowLastColumn="0" w:lastRowFirstColumn="0" w:lastRowLastColumn="0"/>
                  <w:tcW w:w="1155" w:type="dxa"/>
                  <w:vMerge/>
                  <w:tcBorders>
                    <w:left w:val="nil"/>
                    <w:right w:val="nil"/>
                  </w:tcBorders>
                  <w:shd w:val="clear" w:color="auto" w:fill="F2F2F2" w:themeFill="background1" w:themeFillShade="F2"/>
                </w:tcPr>
                <w:p w:rsidR="00885643" w:rsidRPr="00AE7F93" w:rsidRDefault="00885643" w:rsidP="00885643">
                  <w:pPr>
                    <w:rPr>
                      <w:color w:val="000000" w:themeColor="text1"/>
                    </w:rPr>
                  </w:pPr>
                </w:p>
              </w:tc>
              <w:tc>
                <w:tcPr>
                  <w:tcW w:w="3827" w:type="dxa"/>
                  <w:tcBorders>
                    <w:left w:val="nil"/>
                    <w:right w:val="nil"/>
                  </w:tcBorders>
                  <w:shd w:val="clear" w:color="auto" w:fill="F2F2F2" w:themeFill="background1" w:themeFillShade="F2"/>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Was another negative control method used?</w:t>
                  </w:r>
                </w:p>
              </w:tc>
              <w:tc>
                <w:tcPr>
                  <w:tcW w:w="4641" w:type="dxa"/>
                  <w:tcBorders>
                    <w:left w:val="nil"/>
                    <w:right w:val="nil"/>
                  </w:tcBorders>
                  <w:shd w:val="clear" w:color="auto" w:fill="F2F2F2" w:themeFill="background1" w:themeFillShade="F2"/>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E7F93" w:rsidRPr="002F608E" w:rsidTr="00885643">
              <w:trPr>
                <w:trHeight w:val="26"/>
              </w:trPr>
              <w:tc>
                <w:tcPr>
                  <w:cnfStyle w:val="001000000000" w:firstRow="0" w:lastRow="0" w:firstColumn="1" w:lastColumn="0" w:oddVBand="0" w:evenVBand="0" w:oddHBand="0" w:evenHBand="0" w:firstRowFirstColumn="0" w:firstRowLastColumn="0" w:lastRowFirstColumn="0" w:lastRowLastColumn="0"/>
                  <w:tcW w:w="1155" w:type="dxa"/>
                  <w:tcBorders>
                    <w:left w:val="nil"/>
                    <w:right w:val="nil"/>
                  </w:tcBorders>
                  <w:shd w:val="clear" w:color="auto" w:fill="FFFFFF" w:themeFill="background1"/>
                </w:tcPr>
                <w:p w:rsidR="00885643" w:rsidRPr="00AE7F93" w:rsidRDefault="00885643" w:rsidP="00885643">
                  <w:pPr>
                    <w:rPr>
                      <w:color w:val="000000" w:themeColor="text1"/>
                      <w:sz w:val="6"/>
                      <w:szCs w:val="6"/>
                    </w:rPr>
                  </w:pPr>
                </w:p>
              </w:tc>
              <w:tc>
                <w:tcPr>
                  <w:tcW w:w="3827" w:type="dxa"/>
                  <w:tcBorders>
                    <w:left w:val="nil"/>
                    <w:right w:val="nil"/>
                  </w:tcBorders>
                  <w:shd w:val="clear" w:color="auto" w:fill="FFFFFF" w:themeFill="background1"/>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sz w:val="6"/>
                      <w:szCs w:val="6"/>
                    </w:rPr>
                  </w:pPr>
                </w:p>
              </w:tc>
              <w:tc>
                <w:tcPr>
                  <w:tcW w:w="4641" w:type="dxa"/>
                  <w:tcBorders>
                    <w:left w:val="nil"/>
                    <w:right w:val="nil"/>
                  </w:tcBorders>
                  <w:shd w:val="clear" w:color="auto" w:fill="FFFFFF" w:themeFill="background1"/>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sz w:val="6"/>
                      <w:szCs w:val="6"/>
                    </w:rPr>
                  </w:pPr>
                </w:p>
              </w:tc>
            </w:tr>
            <w:tr w:rsidR="00AE7F93" w:rsidRPr="00AE7F93" w:rsidTr="00885643">
              <w:trPr>
                <w:trHeight w:val="409"/>
              </w:trPr>
              <w:tc>
                <w:tcPr>
                  <w:cnfStyle w:val="001000000000" w:firstRow="0" w:lastRow="0" w:firstColumn="1" w:lastColumn="0" w:oddVBand="0" w:evenVBand="0" w:oddHBand="0" w:evenHBand="0" w:firstRowFirstColumn="0" w:firstRowLastColumn="0" w:lastRowFirstColumn="0" w:lastRowLastColumn="0"/>
                  <w:tcW w:w="1155" w:type="dxa"/>
                  <w:tcBorders>
                    <w:left w:val="nil"/>
                    <w:bottom w:val="nil"/>
                    <w:right w:val="nil"/>
                  </w:tcBorders>
                  <w:shd w:val="clear" w:color="auto" w:fill="F2F2F2" w:themeFill="background1" w:themeFillShade="F2"/>
                </w:tcPr>
                <w:p w:rsidR="00885643" w:rsidRPr="00AE7F93" w:rsidRDefault="00885643" w:rsidP="00885643">
                  <w:pPr>
                    <w:rPr>
                      <w:color w:val="000000" w:themeColor="text1"/>
                    </w:rPr>
                  </w:pPr>
                  <w:r w:rsidRPr="00AE7F93">
                    <w:rPr>
                      <w:color w:val="000000" w:themeColor="text1"/>
                    </w:rPr>
                    <w:t xml:space="preserve">Other </w:t>
                  </w:r>
                </w:p>
              </w:tc>
              <w:tc>
                <w:tcPr>
                  <w:tcW w:w="3827" w:type="dxa"/>
                  <w:tcBorders>
                    <w:left w:val="nil"/>
                    <w:bottom w:val="nil"/>
                    <w:right w:val="nil"/>
                  </w:tcBorders>
                  <w:shd w:val="clear" w:color="auto" w:fill="F2F2F2" w:themeFill="background1" w:themeFillShade="F2"/>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00AE7F93">
                    <w:rPr>
                      <w:color w:val="000000" w:themeColor="text1"/>
                    </w:rPr>
                    <w:t xml:space="preserve">Was another validation method used? Which one? </w:t>
                  </w:r>
                </w:p>
              </w:tc>
              <w:tc>
                <w:tcPr>
                  <w:tcW w:w="4641" w:type="dxa"/>
                  <w:tcBorders>
                    <w:left w:val="nil"/>
                    <w:bottom w:val="nil"/>
                    <w:right w:val="nil"/>
                  </w:tcBorders>
                  <w:shd w:val="clear" w:color="auto" w:fill="F2F2F2" w:themeFill="background1" w:themeFillShade="F2"/>
                </w:tcPr>
                <w:p w:rsidR="00885643" w:rsidRPr="00AE7F93" w:rsidRDefault="00885643" w:rsidP="00885643">
                  <w:pPr>
                    <w:pStyle w:val="NoSpacing"/>
                    <w:cnfStyle w:val="000000000000" w:firstRow="0" w:lastRow="0" w:firstColumn="0" w:lastColumn="0" w:oddVBand="0" w:evenVBand="0" w:oddHBand="0" w:evenHBand="0" w:firstRowFirstColumn="0" w:firstRowLastColumn="0" w:lastRowFirstColumn="0" w:lastRowLastColumn="0"/>
                    <w:rPr>
                      <w:b/>
                      <w:color w:val="000000" w:themeColor="text1"/>
                    </w:rPr>
                  </w:pPr>
                </w:p>
              </w:tc>
            </w:tr>
          </w:tbl>
          <w:p w:rsidR="00885643" w:rsidRPr="00AE7F93" w:rsidRDefault="00885643" w:rsidP="00BF63A5">
            <w:pPr>
              <w:pStyle w:val="NoSpacing"/>
              <w:rPr>
                <w:color w:val="000000" w:themeColor="text1"/>
              </w:rPr>
            </w:pPr>
          </w:p>
        </w:tc>
      </w:tr>
    </w:tbl>
    <w:p w:rsidR="00382745" w:rsidRPr="00FE5BFA" w:rsidRDefault="00382745" w:rsidP="0052159F">
      <w:pPr>
        <w:pStyle w:val="Heading2"/>
        <w:numPr>
          <w:ilvl w:val="0"/>
          <w:numId w:val="0"/>
        </w:numPr>
      </w:pPr>
    </w:p>
    <w:p w:rsidR="00382745" w:rsidRDefault="00382745" w:rsidP="00382745"/>
    <w:p w:rsidR="00382745" w:rsidRDefault="00382745" w:rsidP="00382745"/>
    <w:p w:rsidR="000C7F50" w:rsidRDefault="000C7F50">
      <w:pPr>
        <w:rPr>
          <w:lang w:val="en-US"/>
        </w:rPr>
      </w:pPr>
      <w:r>
        <w:rPr>
          <w:lang w:val="en-US"/>
        </w:rPr>
        <w:br w:type="page"/>
      </w:r>
    </w:p>
    <w:p w:rsidR="005F4054" w:rsidRDefault="005F4054" w:rsidP="005F4054">
      <w:pPr>
        <w:pStyle w:val="Heading1"/>
        <w:numPr>
          <w:ilvl w:val="0"/>
          <w:numId w:val="0"/>
        </w:numPr>
        <w:spacing w:line="240" w:lineRule="auto"/>
        <w:jc w:val="both"/>
      </w:pPr>
      <w:bookmarkStart w:id="6" w:name="_Ref9502667"/>
      <w:bookmarkStart w:id="7" w:name="_Ref513459223"/>
      <w:bookmarkStart w:id="8" w:name="_Ref525116927"/>
      <w:bookmarkStart w:id="9" w:name="_Toc532464322"/>
      <w:bookmarkStart w:id="10" w:name="_Ref9502779"/>
      <w:r>
        <w:lastRenderedPageBreak/>
        <w:t>3 - Methods of antibody validation</w:t>
      </w:r>
      <w:bookmarkEnd w:id="6"/>
      <w:r>
        <w:t xml:space="preserve"> </w:t>
      </w:r>
      <w:bookmarkEnd w:id="7"/>
      <w:bookmarkEnd w:id="8"/>
      <w:bookmarkEnd w:id="9"/>
    </w:p>
    <w:p w:rsidR="005F4054" w:rsidRPr="0052159F" w:rsidRDefault="005F4054" w:rsidP="005F4054">
      <w:pPr>
        <w:jc w:val="both"/>
        <w:rPr>
          <w:lang w:val="en-US"/>
        </w:rPr>
      </w:pPr>
      <w:r w:rsidRPr="0052159F">
        <w:rPr>
          <w:lang w:val="en-US"/>
        </w:rPr>
        <w:t xml:space="preserve">This section will shortly describe the different kinds of validation that can be carried out by researchers themselves, as have been proposed in the literature. </w:t>
      </w:r>
    </w:p>
    <w:p w:rsidR="005F4054" w:rsidRDefault="005F4054" w:rsidP="005F4054">
      <w:pPr>
        <w:pStyle w:val="Appendixstyle2"/>
        <w:spacing w:line="240" w:lineRule="auto"/>
      </w:pPr>
      <w:bookmarkStart w:id="11" w:name="_Toc531105192"/>
      <w:bookmarkStart w:id="12" w:name="_Toc531348893"/>
      <w:bookmarkStart w:id="13" w:name="_Toc532136270"/>
      <w:bookmarkStart w:id="14" w:name="_Toc532464323"/>
      <w:r>
        <w:t>Frequently used validation</w:t>
      </w:r>
      <w:bookmarkEnd w:id="11"/>
      <w:bookmarkEnd w:id="12"/>
      <w:r>
        <w:t xml:space="preserve"> methods</w:t>
      </w:r>
      <w:bookmarkEnd w:id="13"/>
      <w:bookmarkEnd w:id="14"/>
    </w:p>
    <w:p w:rsidR="005F4054" w:rsidRDefault="005F4054" w:rsidP="005F4054">
      <w:pPr>
        <w:pStyle w:val="Heading4"/>
        <w:numPr>
          <w:ilvl w:val="0"/>
          <w:numId w:val="0"/>
        </w:numPr>
        <w:spacing w:line="240" w:lineRule="auto"/>
        <w:jc w:val="both"/>
      </w:pPr>
      <w:r w:rsidRPr="00687B76">
        <w:t>Pre</w:t>
      </w:r>
      <w:r>
        <w:t>-</w:t>
      </w:r>
      <w:r w:rsidRPr="00687B76">
        <w:t>adsorption</w:t>
      </w:r>
      <w:r>
        <w:t>/blocking peptides (in IHC)</w:t>
      </w:r>
    </w:p>
    <w:p w:rsidR="005F4054" w:rsidRDefault="005F4054" w:rsidP="005F4054">
      <w:pPr>
        <w:pStyle w:val="NoSpacing"/>
        <w:jc w:val="both"/>
      </w:pPr>
      <w:r>
        <w:t xml:space="preserve">A method of validation that is often mentioned is pre-adsorption, used in IHC. In this process, the antibody is incubated in great excess with the antigen (e.g. peptide sequence) it was raised against. It is then ‘blocked’ by this peptide and cannot bind to other peptides in the sample of interest anymore. After incubation, antibodies with and without this blocking peptide are used to stain tissue that is known to express the target. If the blocked peptide does not show any staining of the tissue, the antibody is specific for the target peptide from which it was generated. However, this does not necessarily mean that the antibody cannot still be cross-reactive with different proteins present in the sample. If the blocked antibody cannot bind to the target protein in a sample, it can also not bind to off-target proteins in that sample. Hence pre-adsorption can be used to show that an antibody is wrong (if it still stains tissue after addition of the blocking peptide), but it cannot show that an antibody is right (that it is not cross-reactive) </w:t>
      </w:r>
      <w:r w:rsidR="00A51F85" w:rsidRPr="009D5ABB">
        <w:fldChar w:fldCharType="begin">
          <w:fldData xml:space="preserve">PEVuZE5vdGU+PENpdGU+PEF1dGhvcj5Cb3JkZWF1eDwvQXV0aG9yPjxZZWFyPjIwMTA8L1llYXI+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</w:fldData>
        </w:fldChar>
      </w:r>
      <w:r>
        <w:instrText xml:space="preserve"> ADDIN EN.CITE </w:instrText>
      </w:r>
      <w:r w:rsidR="00A51F85">
        <w:fldChar w:fldCharType="begin">
          <w:fldData xml:space="preserve">PEVuZE5vdGU+PENpdGU+PEF1dGhvcj5Cb3JkZWF1eDwvQXV0aG9yPjxZZWFyPjIwMTA8L1llYXI+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</w:fldData>
        </w:fldChar>
      </w:r>
      <w:r>
        <w:instrText xml:space="preserve"> ADDIN EN.CITE.DATA </w:instrText>
      </w:r>
      <w:r w:rsidR="00A51F85">
        <w:fldChar w:fldCharType="end"/>
      </w:r>
      <w:r w:rsidR="00A51F85" w:rsidRPr="009D5ABB">
        <w:fldChar w:fldCharType="separate"/>
      </w:r>
      <w:r>
        <w:rPr>
          <w:noProof/>
        </w:rPr>
        <w:t>[3, 4]</w:t>
      </w:r>
      <w:r w:rsidR="00A51F85" w:rsidRPr="009D5ABB">
        <w:fldChar w:fldCharType="end"/>
      </w:r>
      <w:r>
        <w:t xml:space="preserve">. Several antibodies that had been validated using this method proved to actually be non-selective upon more thorough validation </w:t>
      </w:r>
      <w:r w:rsidR="00A51F85">
        <w:fldChar w:fldCharType="begin"/>
      </w:r>
      <w:r>
        <w:instrText xml:space="preserve"> ADDIN EN.CITE &lt;EndNote&gt;&lt;Cite&gt;&lt;Author&gt;Bordeaux&lt;/Author&gt;&lt;Year&gt;2010&lt;/Year&gt;&lt;RecNum&gt;1&lt;/RecNum&gt;&lt;DisplayText&gt;[3]&lt;/DisplayText&gt;&lt;record&gt;&lt;rec-number&gt;1&lt;/rec-number&gt;&lt;foreign-keys&gt;&lt;key app="EN" db-id="922z0aw9wfta05e2a0s5wzah2eawzfx92wzt" timestamp="1518271404"&gt;1&lt;/key&gt;&lt;/foreign-keys&gt;&lt;ref-type name="Journal Article"&gt;17&lt;/ref-type&gt;&lt;contributors&gt;&lt;authors&gt;&lt;author&gt;Bordeaux, Jennifer&lt;/author&gt;&lt;author&gt;Welsh, Allison W&lt;/author&gt;&lt;author&gt;Agarwal, Seema&lt;/author&gt;&lt;author&gt;Killiam, Elizabeth&lt;/author&gt;&lt;author&gt;Baquero, Maria T&lt;/author&gt;&lt;author&gt;Hanna, Jason A&lt;/author&gt;&lt;author&gt;Anagnostou, Valsamo K&lt;/author&gt;&lt;author&gt;Rimm, David L&lt;/author&gt;&lt;/authors&gt;&lt;/contributors&gt;&lt;titles&gt;&lt;title&gt;Antibody validation&lt;/title&gt;&lt;secondary-title&gt;Biotechniques&lt;/secondary-title&gt;&lt;/titles&gt;&lt;periodical&gt;&lt;full-title&gt;Biotechniques&lt;/full-title&gt;&lt;/periodical&gt;&lt;pages&gt;197&lt;/pages&gt;&lt;volume&gt;48&lt;/volume&gt;&lt;number&gt;3&lt;/number&gt;&lt;dates&gt;&lt;year&gt;2010&lt;/year&gt;&lt;/dates&gt;&lt;urls&gt;&lt;related-urls&gt;&lt;url&gt;https://www.ncbi.nlm.nih.gov/pmc/articles/PMC3891910/pdf/nihms540371.pdf&lt;/url&gt;&lt;/related-urls&gt;&lt;/urls&gt;&lt;/record&gt;&lt;/Cite&gt;&lt;/EndNote&gt;</w:instrText>
      </w:r>
      <w:r w:rsidR="00A51F85">
        <w:fldChar w:fldCharType="separate"/>
      </w:r>
      <w:r>
        <w:rPr>
          <w:noProof/>
        </w:rPr>
        <w:t>[3]</w:t>
      </w:r>
      <w:r w:rsidR="00A51F85">
        <w:fldChar w:fldCharType="end"/>
      </w:r>
      <w:r>
        <w:t xml:space="preserve">. </w:t>
      </w:r>
    </w:p>
    <w:p w:rsidR="005F4054" w:rsidRDefault="005F4054" w:rsidP="005F4054">
      <w:pPr>
        <w:pStyle w:val="NoSpacing"/>
        <w:jc w:val="both"/>
      </w:pPr>
      <w:r>
        <w:tab/>
        <w:t xml:space="preserve">Pre-adsorption can be performed with the (synthetic) antigen against which the antibody was generated or with, for example, purified target protein. This makes a difference in how the validation of the antibody should be evaluated: that an antibody binds to the synthetic antigen it was generated with does not necessarily mean it also binds to the target protein in its native conformation. </w:t>
      </w:r>
    </w:p>
    <w:p w:rsidR="005F4054" w:rsidRDefault="005F4054" w:rsidP="005F4054">
      <w:pPr>
        <w:pStyle w:val="Heading4"/>
        <w:spacing w:line="240" w:lineRule="auto"/>
      </w:pPr>
      <w:r>
        <w:t>Omission of primary antibody</w:t>
      </w:r>
      <w:r w:rsidRPr="00FD50D2">
        <w:t xml:space="preserve"> </w:t>
      </w:r>
    </w:p>
    <w:p w:rsidR="005F4054" w:rsidRDefault="005F4054" w:rsidP="005F4054">
      <w:pPr>
        <w:pStyle w:val="NoSpacing"/>
        <w:jc w:val="both"/>
      </w:pPr>
      <w:r w:rsidRPr="00CF482B">
        <w:t>Leaving the primary antibody out of the experiment and only using the secondary antibody can be</w:t>
      </w:r>
      <w:r>
        <w:t xml:space="preserve"> useful when there is a high background staining to differentiate between the background staining and the antibody-protein specific staining </w:t>
      </w:r>
      <w:r w:rsidR="00A51F85">
        <w:fldChar w:fldCharType="begin"/>
      </w:r>
      <w:r>
        <w:instrText xml:space="preserve"> ADDIN EN.CITE &lt;EndNote&gt;&lt;Cite&gt;&lt;Author&gt;Ivell&lt;/Author&gt;&lt;Year&gt;2014&lt;/Year&gt;&lt;RecNum&gt;191&lt;/RecNum&gt;&lt;DisplayText&gt;[5]&lt;/DisplayText&gt;&lt;record&gt;&lt;rec-number&gt;191&lt;/rec-number&gt;&lt;foreign-keys&gt;&lt;key app="EN" db-id="922z0aw9wfta05e2a0s5wzah2eawzfx92wzt" timestamp="1528882260"&gt;191&lt;/key&gt;&lt;key app="ENWeb" db-id=""&gt;0&lt;/key&gt;&lt;/foreign-keys&gt;&lt;ref-type name="Journal Article"&gt;17&lt;/ref-type&gt;&lt;contributors&gt;&lt;authors&gt;&lt;author&gt;Ivell, Richard&lt;/author&gt;&lt;author&gt;Teerds, Katja&lt;/author&gt;&lt;author&gt;Hoffman, Gloria E.&lt;/author&gt;&lt;/authors&gt;&lt;/contributors&gt;&lt;titles&gt;&lt;title&gt;Proper Application of Antibodies for Immunohistochemical Detection: Antibody Crimes and How to Prevent Them&lt;/title&gt;&lt;secondary-title&gt;Endocrinology&lt;/secondary-title&gt;&lt;/titles&gt;&lt;periodical&gt;&lt;full-title&gt;Endocrinology&lt;/full-title&gt;&lt;/periodical&gt;&lt;pages&gt;676-687&lt;/pages&gt;&lt;volume&gt;155&lt;/volume&gt;&lt;number&gt;3&lt;/number&gt;&lt;dates&gt;&lt;year&gt;2014&lt;/year&gt;&lt;/dates&gt;&lt;isbn&gt;0013-7227&lt;/isbn&gt;&lt;urls&gt;&lt;related-urls&gt;&lt;url&gt;http://dx.doi.org/10.1210/en.2013-1971&lt;/url&gt;&lt;url&gt;https://watermark.silverchair.com/endo0676.pdf?token=AQECAHi208BE49Ooan9kkhW_Ercy7Dm3ZL_9Cf3qfKAc485ysgAAAbYwggGyBgkqhkiG9w0BBwagggGjMIIBnwIBADCCAZgGCSqGSIb3DQEHATAeBglghkgBZQMEAS4wEQQMsxUSZippqtIkINWvAgEQgIIBaR6fJmDnLAYpkSksshXaK-PmAoclh-yVHFHcdEWrFMdrsB_CgeWZUOCUGblwI0qDnp5aZ6hN-ii1Spq4zO7sqMwvPfQYO5RkIPaqTxv2RfrWhlRrNuKpmLkcpBSKqx2m0ISzwdilWL1XiXYiliR1pw4Urs0NEwJXJROP92HECyClJWLCw-AZqRhzeSRU9yKVLtwIrF8dVa5gvqdhosYvsA3Q3V1pmHoijHLnMFx23icyWzfg16d-ginhjZmZpYg_ZqSpA8v2kwGRopedDKRgHVzLA0ZC6frATQnrn3YIofBCRYj3w52FWa0MzwCTitiozG7CLvF4O6TgMTpWweVRarO1KLx4cM-rdhYP5MRXvJNatWCxJPJwe3FjM-fXYExqXOV04OH9QZNlJfKXDhVUyyy8GXSbz5b8iXEL0kf2p9cwcTn5I88pa8N4f_kHriwaxGZQPx7ND9s_7qh7ILs4oFbknr628FWfOjU&lt;/url&gt;&lt;/related-urls&gt;&lt;/urls&gt;&lt;electronic-resource-num&gt;10.1210/en.2013-1971&lt;/electronic-resource-num&gt;&lt;/record&gt;&lt;/Cite&gt;&lt;/EndNote&gt;</w:instrText>
      </w:r>
      <w:r w:rsidR="00A51F85">
        <w:fldChar w:fldCharType="separate"/>
      </w:r>
      <w:r>
        <w:rPr>
          <w:noProof/>
        </w:rPr>
        <w:t>[5]</w:t>
      </w:r>
      <w:r w:rsidR="00A51F85">
        <w:fldChar w:fldCharType="end"/>
      </w:r>
      <w:r>
        <w:t xml:space="preserve">. This method is also </w:t>
      </w:r>
      <w:r w:rsidRPr="00CF482B">
        <w:t>used</w:t>
      </w:r>
      <w:r>
        <w:t xml:space="preserve"> by researchers</w:t>
      </w:r>
      <w:r w:rsidRPr="00CF482B">
        <w:t xml:space="preserve"> to tell something about the specificity of the primary antibody. </w:t>
      </w:r>
      <w:r>
        <w:t xml:space="preserve">When the primary antibody is omitted, no staining should be observed. This method cannot determine whether the antibody is cross-reactive. </w:t>
      </w:r>
    </w:p>
    <w:p w:rsidR="005F4054" w:rsidRDefault="005F4054" w:rsidP="005F4054">
      <w:pPr>
        <w:pStyle w:val="NoSpacing"/>
        <w:ind w:firstLine="720"/>
        <w:jc w:val="both"/>
      </w:pPr>
      <w:r>
        <w:t xml:space="preserve">However, it is disputed whether this counts as evidence for the specificity of the primary antibody. Using a secondary antibody without the primary antibody reveals something about the specificity of the secondary antibody, not the primary one; it is a control only for the staining method </w:t>
      </w:r>
      <w:r w:rsidR="00A51F85">
        <w:fldChar w:fldCharType="begin">
          <w:fldData xml:space="preserve">PEVuZE5vdGU+PENpdGU+PEF1dGhvcj5IZXdpdHQ8L0F1dGhvcj48WWVhcj4yMDE0PC9ZZWFyPjxS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</w:fldData>
        </w:fldChar>
      </w:r>
      <w:r>
        <w:instrText xml:space="preserve"> ADDIN EN.CITE </w:instrText>
      </w:r>
      <w:r w:rsidR="00A51F85">
        <w:fldChar w:fldCharType="begin">
          <w:fldData xml:space="preserve">PEVuZE5vdGU+PENpdGU+PEF1dGhvcj5IZXdpdHQ8L0F1dGhvcj48WWVhcj4yMDE0PC9ZZWFyPjxS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</w:fldData>
        </w:fldChar>
      </w:r>
      <w:r>
        <w:instrText xml:space="preserve"> ADDIN EN.CITE.DATA </w:instrText>
      </w:r>
      <w:r w:rsidR="00A51F85">
        <w:fldChar w:fldCharType="end"/>
      </w:r>
      <w:r w:rsidR="00A51F85">
        <w:fldChar w:fldCharType="separate"/>
      </w:r>
      <w:r>
        <w:rPr>
          <w:noProof/>
        </w:rPr>
        <w:t>[6, 7]</w:t>
      </w:r>
      <w:r w:rsidR="00A51F85">
        <w:fldChar w:fldCharType="end"/>
      </w:r>
      <w:r>
        <w:t xml:space="preserve">. </w:t>
      </w:r>
    </w:p>
    <w:p w:rsidR="005F4054" w:rsidRPr="009C42CB" w:rsidRDefault="005F4054" w:rsidP="005F4054">
      <w:pPr>
        <w:pStyle w:val="NoSpacing"/>
        <w:ind w:firstLine="720"/>
        <w:jc w:val="both"/>
      </w:pPr>
      <w:r>
        <w:t xml:space="preserve">Another, related, method that can be used is leaving the primary antibody out of the experiment and adding a control antibody that binds to a completely different, unrelated protein but is of the same isotype as the primary antibody </w:t>
      </w:r>
      <w:r w:rsidR="00A51F85">
        <w:fldChar w:fldCharType="begin"/>
      </w:r>
      <w:r>
        <w:instrText xml:space="preserve"> ADDIN EN.CITE &lt;EndNote&gt;&lt;Cite&gt;&lt;Author&gt;Howat&lt;/Author&gt;&lt;Year&gt;2014&lt;/Year&gt;&lt;RecNum&gt;190&lt;/RecNum&gt;&lt;DisplayText&gt;[7]&lt;/DisplayText&gt;&lt;record&gt;&lt;rec-number&gt;190&lt;/rec-number&gt;&lt;foreign-keys&gt;&lt;key app="EN" db-id="922z0aw9wfta05e2a0s5wzah2eawzfx92wzt" timestamp="1528882259"&gt;190&lt;/key&gt;&lt;key app="ENWeb" db-id=""&gt;0&lt;/key&gt;&lt;/foreign-keys&gt;&lt;ref-type name="Journal Article"&gt;17&lt;/ref-type&gt;&lt;contributors&gt;&lt;authors&gt;&lt;author&gt;Howat, William J.&lt;/author&gt;&lt;author&gt;Lewis, Arthur&lt;/author&gt;&lt;author&gt;Jones, Phillipa&lt;/author&gt;&lt;author&gt;Kampf, Caroline&lt;/author&gt;&lt;author&gt;Pontén, Fredrik&lt;/author&gt;&lt;author&gt;van der Loos, Chris M.&lt;/author&gt;&lt;author&gt;Gray, Neil&lt;/author&gt;&lt;author&gt;Womack, Chris&lt;/author&gt;&lt;author&gt;Warford, Anthony&lt;/author&gt;&lt;/authors&gt;&lt;/contributors&gt;&lt;titles&gt;&lt;title&gt;Antibody validation of immunohistochemistry for biomarker discovery: Recommendations of a consortium of academic and pharmaceutical based histopathology researchers&lt;/title&gt;&lt;secondary-title&gt;Methods&lt;/secondary-title&gt;&lt;/titles&gt;&lt;periodical&gt;&lt;full-title&gt;Methods&lt;/full-title&gt;&lt;/periodical&gt;&lt;pages&gt;34-38&lt;/pages&gt;&lt;volume&gt;70&lt;/volume&gt;&lt;number&gt;1&lt;/number&gt;&lt;keywords&gt;&lt;keyword&gt;Antibody validation&lt;/keyword&gt;&lt;keyword&gt;Immunohistochemistry&lt;/keyword&gt;&lt;keyword&gt;Biomarker&lt;/keyword&gt;&lt;keyword&gt;Guidelines&lt;/keyword&gt;&lt;keyword&gt;Histopathology&lt;/keyword&gt;&lt;/keywords&gt;&lt;dates&gt;&lt;year&gt;2014&lt;/year&gt;&lt;pub-dates&gt;&lt;date&gt;2014/11/01/&lt;/date&gt;&lt;/pub-dates&gt;&lt;/dates&gt;&lt;isbn&gt;1046-2023&lt;/isbn&gt;&lt;urls&gt;&lt;related-urls&gt;&lt;url&gt;http://www.sciencedirect.com/science/article/pii/S1046202314000280&lt;/url&gt;&lt;url&gt;https://www.sciencedirect.com/science/article/pii/S1046202314000280?via%3Dihub&lt;/url&gt;&lt;/related-urls&gt;&lt;/urls&gt;&lt;electronic-resource-num&gt;https://doi.org/10.1016/j.ymeth.2014.01.018&lt;/electronic-resource-num&gt;&lt;/record&gt;&lt;/Cite&gt;&lt;/EndNote&gt;</w:instrText>
      </w:r>
      <w:r w:rsidR="00A51F85">
        <w:fldChar w:fldCharType="separate"/>
      </w:r>
      <w:r>
        <w:rPr>
          <w:noProof/>
        </w:rPr>
        <w:t>[7]</w:t>
      </w:r>
      <w:r w:rsidR="00A51F85">
        <w:fldChar w:fldCharType="end"/>
      </w:r>
      <w:r>
        <w:t xml:space="preserve">. Pre-immune serum, derived from the same animal before immunization, could also be used as a control </w:t>
      </w:r>
      <w:r w:rsidR="00A51F85">
        <w:fldChar w:fldCharType="begin"/>
      </w:r>
      <w:r>
        <w:instrText xml:space="preserve"> ADDIN EN.CITE &lt;EndNote&gt;&lt;Cite&gt;&lt;Author&gt;Ivell&lt;/Author&gt;&lt;Year&gt;2014&lt;/Year&gt;&lt;RecNum&gt;191&lt;/RecNum&gt;&lt;DisplayText&gt;[5]&lt;/DisplayText&gt;&lt;record&gt;&lt;rec-number&gt;191&lt;/rec-number&gt;&lt;foreign-keys&gt;&lt;key app="EN" db-id="922z0aw9wfta05e2a0s5wzah2eawzfx92wzt" timestamp="1528882260"&gt;191&lt;/key&gt;&lt;key app="ENWeb" db-id=""&gt;0&lt;/key&gt;&lt;/foreign-keys&gt;&lt;ref-type name="Journal Article"&gt;17&lt;/ref-type&gt;&lt;contributors&gt;&lt;authors&gt;&lt;author&gt;Ivell, Richard&lt;/author&gt;&lt;author&gt;Teerds, Katja&lt;/author&gt;&lt;author&gt;Hoffman, Gloria E.&lt;/author&gt;&lt;/authors&gt;&lt;/contributors&gt;&lt;titles&gt;&lt;title&gt;Proper Application of Antibodies for Immunohistochemical Detection: Antibody Crimes and How to Prevent Them&lt;/title&gt;&lt;secondary-title&gt;Endocrinology&lt;/secondary-title&gt;&lt;/titles&gt;&lt;periodical&gt;&lt;full-title&gt;Endocrinology&lt;/full-title&gt;&lt;/periodical&gt;&lt;pages&gt;676-687&lt;/pages&gt;&lt;volume&gt;155&lt;/volume&gt;&lt;number&gt;3&lt;/number&gt;&lt;dates&gt;&lt;year&gt;2014&lt;/year&gt;&lt;/dates&gt;&lt;isbn&gt;0013-7227&lt;/isbn&gt;&lt;urls&gt;&lt;related-urls&gt;&lt;url&gt;http://dx.doi.org/10.1210/en.2013-1971&lt;/url&gt;&lt;url&gt;https://watermark.silverchair.com/endo0676.pdf?token=AQECAHi208BE49Ooan9kkhW_Ercy7Dm3ZL_9Cf3qfKAc485ysgAAAbYwggGyBgkqhkiG9w0BBwagggGjMIIBnwIBADCCAZgGCSqGSIb3DQEHATAeBglghkgBZQMEAS4wEQQMsxUSZippqtIkINWvAgEQgIIBaR6fJmDnLAYpkSksshXaK-PmAoclh-yVHFHcdEWrFMdrsB_CgeWZUOCUGblwI0qDnp5aZ6hN-ii1Spq4zO7sqMwvPfQYO5RkIPaqTxv2RfrWhlRrNuKpmLkcpBSKqx2m0ISzwdilWL1XiXYiliR1pw4Urs0NEwJXJROP92HECyClJWLCw-AZqRhzeSRU9yKVLtwIrF8dVa5gvqdhosYvsA3Q3V1pmHoijHLnMFx23icyWzfg16d-ginhjZmZpYg_ZqSpA8v2kwGRopedDKRgHVzLA0ZC6frATQnrn3YIofBCRYj3w52FWa0MzwCTitiozG7CLvF4O6TgMTpWweVRarO1KLx4cM-rdhYP5MRXvJNatWCxJPJwe3FjM-fXYExqXOV04OH9QZNlJfKXDhVUyyy8GXSbz5b8iXEL0kf2p9cwcTn5I88pa8N4f_kHriwaxGZQPx7ND9s_7qh7ILs4oFbknr628FWfOjU&lt;/url&gt;&lt;/related-urls&gt;&lt;/urls&gt;&lt;electronic-resource-num&gt;10.1210/en.2013-1971&lt;/electronic-resource-num&gt;&lt;/record&gt;&lt;/Cite&gt;&lt;/EndNote&gt;</w:instrText>
      </w:r>
      <w:r w:rsidR="00A51F85">
        <w:fldChar w:fldCharType="separate"/>
      </w:r>
      <w:r>
        <w:rPr>
          <w:noProof/>
        </w:rPr>
        <w:t>[5]</w:t>
      </w:r>
      <w:r w:rsidR="00A51F85">
        <w:fldChar w:fldCharType="end"/>
      </w:r>
      <w:r w:rsidRPr="000E7547">
        <w:t>.</w:t>
      </w:r>
      <w:r>
        <w:t xml:space="preserve"> The control antibody should not bind to the target protein, but it likely does bind to the secondary antibody. However, since it should not bind to the target no staining should be observed. </w:t>
      </w:r>
    </w:p>
    <w:p w:rsidR="005F4054" w:rsidRDefault="005F4054" w:rsidP="005F4054">
      <w:pPr>
        <w:pStyle w:val="Heading4"/>
        <w:numPr>
          <w:ilvl w:val="0"/>
          <w:numId w:val="0"/>
        </w:numPr>
        <w:spacing w:line="240" w:lineRule="auto"/>
        <w:jc w:val="both"/>
      </w:pPr>
      <w:r>
        <w:t>Spatial localization/similar staining patterns</w:t>
      </w:r>
    </w:p>
    <w:p w:rsidR="005F4054" w:rsidRDefault="005F4054" w:rsidP="005F4054">
      <w:pPr>
        <w:pStyle w:val="NoSpacing"/>
        <w:jc w:val="both"/>
      </w:pPr>
      <w:r>
        <w:t xml:space="preserve">Spatial localization is the comparison of the distribution of the antibody signal in cells, subcellular compartments, or tissue with the existing scientific literature on the location of the protein target </w:t>
      </w:r>
      <w:r w:rsidR="00A51F85">
        <w:fldChar w:fldCharType="begin"/>
      </w:r>
      <w:r>
        <w:instrText xml:space="preserve"> ADDIN EN.CITE &lt;EndNote&gt;&lt;Cite&gt;&lt;Author&gt;GBSI&lt;/Author&gt;&lt;Year&gt;2016&lt;/Year&gt;&lt;RecNum&gt;172&lt;/RecNum&gt;&lt;DisplayText&gt;[8]&lt;/DisplayText&gt;&lt;record&gt;&lt;rec-number&gt;172&lt;/rec-number&gt;&lt;foreign-keys&gt;&lt;key app="EN" db-id="922z0aw9wfta05e2a0s5wzah2eawzfx92wzt" timestamp="1526300324"&gt;172&lt;/key&gt;&lt;key app="ENWeb" db-id=""&gt;0&lt;/key&gt;&lt;/foreign-keys&gt;&lt;ref-type name="Report"&gt;27&lt;/ref-type&gt;&lt;contributors&gt;&lt;authors&gt;&lt;author&gt;GBSI&lt;/author&gt;&lt;/authors&gt;&lt;/contributors&gt;&lt;titles&gt;&lt;title&gt;Drivers for Adoption: Ensuring Acceptance and Compliance by the Research Community&lt;/title&gt;&lt;/titles&gt;&lt;dates&gt;&lt;year&gt;2016&lt;/year&gt;&lt;/dates&gt;&lt;publisher&gt;Global Biological Standards Institute&lt;/publisher&gt;&lt;urls&gt;&lt;related-urls&gt;&lt;url&gt;http://www.gbsi.org/wp-content/uploads/2017/11/Driving-Adoption.pdf&lt;/url&gt;&lt;/related-urls&gt;&lt;/urls&gt;&lt;/record&gt;&lt;/Cite&gt;&lt;/EndNote&gt;</w:instrText>
      </w:r>
      <w:r w:rsidR="00A51F85">
        <w:fldChar w:fldCharType="separate"/>
      </w:r>
      <w:r>
        <w:rPr>
          <w:noProof/>
        </w:rPr>
        <w:t>[8]</w:t>
      </w:r>
      <w:r w:rsidR="00A51F85">
        <w:fldChar w:fldCharType="end"/>
      </w:r>
      <w:r>
        <w:t xml:space="preserve">. If the protein is well-known or has been partly characterized before, information about the protein and its localization in cells and tissues can be found in online databases or scientific publications. Observing similar staining patterns with the antibody as have been described in the scientific literature, by a supplier or by an antibody database, is then a sign that the antibody used is specific for that protein </w:t>
      </w:r>
      <w:r w:rsidR="00A51F85">
        <w:fldChar w:fldCharType="begin"/>
      </w:r>
      <w:r>
        <w:instrText xml:space="preserve"> ADDIN EN.CITE &lt;EndNote&gt;&lt;Cite&gt;&lt;Author&gt;O&amp;apos;hurley&lt;/Author&gt;&lt;Year&gt;2014&lt;/Year&gt;&lt;RecNum&gt;87&lt;/RecNum&gt;&lt;DisplayText&gt;[9]&lt;/DisplayText&gt;&lt;record&gt;&lt;rec-number&gt;87&lt;/rec-number&gt;&lt;foreign-keys&gt;&lt;key app="EN" db-id="922z0aw9wfta05e2a0s5wzah2eawzfx92wzt" timestamp="1520609814"&gt;87&lt;/key&gt;&lt;key app="ENWeb" db-id=""&gt;0&lt;/key&gt;&lt;/foreign-keys&gt;&lt;ref-type name="Journal Article"&gt;17&lt;/ref-type&gt;&lt;contributors&gt;&lt;authors&gt;&lt;author&gt;O&amp;apos;hurley, Gillian&lt;/author&gt;&lt;author&gt;Sjöstedt, Evelina&lt;/author&gt;&lt;author&gt;Rahman, Arman&lt;/author&gt;&lt;author&gt;Li, Bo&lt;/author&gt;&lt;author&gt;Kampf, Caroline&lt;/author&gt;&lt;author&gt;Pontén, Fredrik&lt;/author&gt;&lt;author&gt;Gallagher, William M&lt;/author&gt;&lt;author&gt;Lindskog, Cecilia&lt;/author&gt;&lt;/authors&gt;&lt;/contributors&gt;&lt;titles&gt;&lt;title&gt;Garbage in, garbage out: a critical evaluation of strategies used for validation of immunohistochemical biomarkers&lt;/title&gt;&lt;secondary-title&gt;Molecular oncology&lt;/secondary-title&gt;&lt;/titles&gt;&lt;periodical&gt;&lt;full-title&gt;Molecular oncology&lt;/full-title&gt;&lt;/periodical&gt;&lt;pages&gt;783-798&lt;/pages&gt;&lt;volume&gt;8&lt;/volume&gt;&lt;number&gt;4&lt;/number&gt;&lt;dates&gt;&lt;year&gt;2014&lt;/year&gt;&lt;/dates&gt;&lt;isbn&gt;1878-0261&lt;/isbn&gt;&lt;urls&gt;&lt;/urls&gt;&lt;/record&gt;&lt;/Cite&gt;&lt;/EndNote&gt;</w:instrText>
      </w:r>
      <w:r w:rsidR="00A51F85">
        <w:fldChar w:fldCharType="separate"/>
      </w:r>
      <w:r>
        <w:rPr>
          <w:noProof/>
        </w:rPr>
        <w:t>[9]</w:t>
      </w:r>
      <w:r w:rsidR="00A51F85">
        <w:fldChar w:fldCharType="end"/>
      </w:r>
      <w:r>
        <w:t xml:space="preserve">. </w:t>
      </w:r>
    </w:p>
    <w:p w:rsidR="005F4054" w:rsidRPr="00705AB3" w:rsidRDefault="005F4054" w:rsidP="005F4054">
      <w:pPr>
        <w:pStyle w:val="Heading4"/>
        <w:numPr>
          <w:ilvl w:val="0"/>
          <w:numId w:val="0"/>
        </w:numPr>
        <w:spacing w:line="240" w:lineRule="auto"/>
        <w:jc w:val="both"/>
      </w:pPr>
      <w:r>
        <w:lastRenderedPageBreak/>
        <w:t>Molecular weight markers (in WB)</w:t>
      </w:r>
    </w:p>
    <w:p w:rsidR="005F4054" w:rsidRDefault="005F4054" w:rsidP="005F4054">
      <w:pPr>
        <w:pStyle w:val="NoSpacing"/>
        <w:jc w:val="both"/>
      </w:pPr>
      <w:r>
        <w:t xml:space="preserve">In WB, molecular weight markers can be used to show if the antibody stains a protein of the correct molecular weight </w:t>
      </w:r>
      <w:r w:rsidR="00A51F85">
        <w:fldChar w:fldCharType="begin"/>
      </w:r>
      <w:r>
        <w:instrText xml:space="preserve"> ADDIN EN.CITE &lt;EndNote&gt;&lt;Cite&gt;&lt;Author&gt;Saper&lt;/Author&gt;&lt;Year&gt;2003&lt;/Year&gt;&lt;RecNum&gt;67&lt;/RecNum&gt;&lt;DisplayText&gt;[10]&lt;/DisplayText&gt;&lt;record&gt;&lt;rec-number&gt;67&lt;/rec-number&gt;&lt;foreign-keys&gt;&lt;key app="EN" db-id="922z0aw9wfta05e2a0s5wzah2eawzfx92wzt" timestamp="1520440164"&gt;67&lt;/key&gt;&lt;/foreign-keys&gt;&lt;ref-type name="Journal Article"&gt;17&lt;/ref-type&gt;&lt;contributors&gt;&lt;authors&gt;&lt;author&gt;Saper, Clifford B&lt;/author&gt;&lt;author&gt;Sawchenko, Paul E&lt;/author&gt;&lt;/authors&gt;&lt;/contributors&gt;&lt;titles&gt;&lt;title&gt;Magic peptides, magic antibodies: guidelines for appropriate controls for immunohistochemistry&lt;/title&gt;&lt;secondary-title&gt;Journal of Comparative Neurology&lt;/secondary-title&gt;&lt;/titles&gt;&lt;periodical&gt;&lt;full-title&gt;Journal of Comparative Neurology&lt;/full-title&gt;&lt;/periodical&gt;&lt;pages&gt;161-163&lt;/pages&gt;&lt;volume&gt;465&lt;/volume&gt;&lt;number&gt;2&lt;/number&gt;&lt;dates&gt;&lt;year&gt;2003&lt;/year&gt;&lt;/dates&gt;&lt;isbn&gt;1096-9861&lt;/isbn&gt;&lt;urls&gt;&lt;related-urls&gt;&lt;url&gt;http://onlinelibrary.wiley.com/store/10.1002/cne.10858/asset/10858_ftp.pdf?v=1&amp;amp;t=jehatytm&amp;amp;s=35f856edbb02bfef2e74cec4af9becc26b413d35&lt;/url&gt;&lt;/related-urls&gt;&lt;/urls&gt;&lt;/record&gt;&lt;/Cite&gt;&lt;/EndNote&gt;</w:instrText>
      </w:r>
      <w:r w:rsidR="00A51F85">
        <w:fldChar w:fldCharType="separate"/>
      </w:r>
      <w:r>
        <w:rPr>
          <w:noProof/>
        </w:rPr>
        <w:t>[10]</w:t>
      </w:r>
      <w:r w:rsidR="00A51F85">
        <w:fldChar w:fldCharType="end"/>
      </w:r>
      <w:r>
        <w:t xml:space="preserve">. The staining at unexpected molecular weight or staining of multiple bands could be a first indication that the antibody is not specific for the protein </w:t>
      </w:r>
      <w:r w:rsidR="00A51F85">
        <w:fldChar w:fldCharType="begin"/>
      </w:r>
      <w:r>
        <w:instrText xml:space="preserve"> ADDIN EN.CITE &lt;EndNote&gt;&lt;Cite&gt;&lt;Author&gt;Bordeaux&lt;/Author&gt;&lt;Year&gt;2010&lt;/Year&gt;&lt;RecNum&gt;1&lt;/RecNum&gt;&lt;DisplayText&gt;[3]&lt;/DisplayText&gt;&lt;record&gt;&lt;rec-number&gt;1&lt;/rec-number&gt;&lt;foreign-keys&gt;&lt;key app="EN" db-id="922z0aw9wfta05e2a0s5wzah2eawzfx92wzt" timestamp="1518271404"&gt;1&lt;/key&gt;&lt;/foreign-keys&gt;&lt;ref-type name="Journal Article"&gt;17&lt;/ref-type&gt;&lt;contributors&gt;&lt;authors&gt;&lt;author&gt;Bordeaux, Jennifer&lt;/author&gt;&lt;author&gt;Welsh, Allison W&lt;/author&gt;&lt;author&gt;Agarwal, Seema&lt;/author&gt;&lt;author&gt;Killiam, Elizabeth&lt;/author&gt;&lt;author&gt;Baquero, Maria T&lt;/author&gt;&lt;author&gt;Hanna, Jason A&lt;/author&gt;&lt;author&gt;Anagnostou, Valsamo K&lt;/author&gt;&lt;author&gt;Rimm, David L&lt;/author&gt;&lt;/authors&gt;&lt;/contributors&gt;&lt;titles&gt;&lt;title&gt;Antibody validation&lt;/title&gt;&lt;secondary-title&gt;Biotechniques&lt;/secondary-title&gt;&lt;/titles&gt;&lt;periodical&gt;&lt;full-title&gt;Biotechniques&lt;/full-title&gt;&lt;/periodical&gt;&lt;pages&gt;197&lt;/pages&gt;&lt;volume&gt;48&lt;/volume&gt;&lt;number&gt;3&lt;/number&gt;&lt;dates&gt;&lt;year&gt;2010&lt;/year&gt;&lt;/dates&gt;&lt;urls&gt;&lt;related-urls&gt;&lt;url&gt;https://www.ncbi.nlm.nih.gov/pmc/articles/PMC3891910/pdf/nihms540371.pdf&lt;/url&gt;&lt;/related-urls&gt;&lt;/urls&gt;&lt;/record&gt;&lt;/Cite&gt;&lt;/EndNote&gt;</w:instrText>
      </w:r>
      <w:r w:rsidR="00A51F85">
        <w:fldChar w:fldCharType="separate"/>
      </w:r>
      <w:r>
        <w:rPr>
          <w:noProof/>
        </w:rPr>
        <w:t>[3]</w:t>
      </w:r>
      <w:r w:rsidR="00A51F85">
        <w:fldChar w:fldCharType="end"/>
      </w:r>
      <w:r>
        <w:t xml:space="preserve">. Staining of a band of the correct molecular weight suggests that the antibody binds to its target protein. However, it could also be the case that it binds to proteins of similar molecular weight </w:t>
      </w:r>
      <w:r w:rsidR="00A51F85">
        <w:fldChar w:fldCharType="begin"/>
      </w:r>
      <w:r>
        <w:instrText xml:space="preserve"> ADDIN EN.CITE &lt;EndNote&gt;&lt;Cite&gt;&lt;Author&gt;O&amp;apos;hurley&lt;/Author&gt;&lt;Year&gt;2014&lt;/Year&gt;&lt;RecNum&gt;87&lt;/RecNum&gt;&lt;DisplayText&gt;[9]&lt;/DisplayText&gt;&lt;record&gt;&lt;rec-number&gt;87&lt;/rec-number&gt;&lt;foreign-keys&gt;&lt;key app="EN" db-id="922z0aw9wfta05e2a0s5wzah2eawzfx92wzt" timestamp="1520609814"&gt;87&lt;/key&gt;&lt;key app="ENWeb" db-id=""&gt;0&lt;/key&gt;&lt;/foreign-keys&gt;&lt;ref-type name="Journal Article"&gt;17&lt;/ref-type&gt;&lt;contributors&gt;&lt;authors&gt;&lt;author&gt;O&amp;apos;hurley, Gillian&lt;/author&gt;&lt;author&gt;Sjöstedt, Evelina&lt;/author&gt;&lt;author&gt;Rahman, Arman&lt;/author&gt;&lt;author&gt;Li, Bo&lt;/author&gt;&lt;author&gt;Kampf, Caroline&lt;/author&gt;&lt;author&gt;Pontén, Fredrik&lt;/author&gt;&lt;author&gt;Gallagher, William M&lt;/author&gt;&lt;author&gt;Lindskog, Cecilia&lt;/author&gt;&lt;/authors&gt;&lt;/contributors&gt;&lt;titles&gt;&lt;title&gt;Garbage in, garbage out: a critical evaluation of strategies used for validation of immunohistochemical biomarkers&lt;/title&gt;&lt;secondary-title&gt;Molecular oncology&lt;/secondary-title&gt;&lt;/titles&gt;&lt;periodical&gt;&lt;full-title&gt;Molecular oncology&lt;/full-title&gt;&lt;/periodical&gt;&lt;pages&gt;783-798&lt;/pages&gt;&lt;volume&gt;8&lt;/volume&gt;&lt;number&gt;4&lt;/number&gt;&lt;dates&gt;&lt;year&gt;2014&lt;/year&gt;&lt;/dates&gt;&lt;isbn&gt;1878-0261&lt;/isbn&gt;&lt;urls&gt;&lt;/urls&gt;&lt;/record&gt;&lt;/Cite&gt;&lt;/EndNote&gt;</w:instrText>
      </w:r>
      <w:r w:rsidR="00A51F85">
        <w:fldChar w:fldCharType="separate"/>
      </w:r>
      <w:r>
        <w:rPr>
          <w:noProof/>
        </w:rPr>
        <w:t>[9]</w:t>
      </w:r>
      <w:r w:rsidR="00A51F85">
        <w:fldChar w:fldCharType="end"/>
      </w:r>
      <w:r>
        <w:t xml:space="preserve">. </w:t>
      </w:r>
    </w:p>
    <w:p w:rsidR="005F4054" w:rsidRPr="001A5FC2" w:rsidRDefault="005F4054" w:rsidP="005F4054">
      <w:pPr>
        <w:pStyle w:val="Appendixstyle2"/>
        <w:spacing w:line="240" w:lineRule="auto"/>
      </w:pPr>
      <w:bookmarkStart w:id="15" w:name="_Toc531105193"/>
      <w:bookmarkStart w:id="16" w:name="_Toc531348894"/>
      <w:bookmarkStart w:id="17" w:name="_Toc532136271"/>
      <w:bookmarkStart w:id="18" w:name="_Toc532464324"/>
      <w:r>
        <w:t>Positive and negative controls</w:t>
      </w:r>
      <w:bookmarkEnd w:id="15"/>
      <w:bookmarkEnd w:id="16"/>
      <w:bookmarkEnd w:id="17"/>
      <w:bookmarkEnd w:id="18"/>
    </w:p>
    <w:p w:rsidR="005F4054" w:rsidRDefault="005F4054" w:rsidP="005F4054">
      <w:pPr>
        <w:pStyle w:val="Heading4"/>
        <w:numPr>
          <w:ilvl w:val="0"/>
          <w:numId w:val="0"/>
        </w:numPr>
        <w:spacing w:line="240" w:lineRule="auto"/>
        <w:jc w:val="both"/>
      </w:pPr>
      <w:r w:rsidRPr="00687B76">
        <w:t xml:space="preserve">Positive </w:t>
      </w:r>
      <w:r>
        <w:t xml:space="preserve">control </w:t>
      </w:r>
    </w:p>
    <w:p w:rsidR="005F4054" w:rsidRDefault="005F4054" w:rsidP="005F4054">
      <w:pPr>
        <w:pStyle w:val="NoSpacing"/>
        <w:jc w:val="both"/>
      </w:pPr>
      <w:r>
        <w:t xml:space="preserve">Another method of validation is to stain the purified or recombinant protein with the antibody. If it is stained, this indicates that the antibody binds to its target </w:t>
      </w:r>
      <w:r w:rsidR="00A51F85">
        <w:fldChar w:fldCharType="begin"/>
      </w:r>
      <w:r>
        <w:instrText xml:space="preserve"> ADDIN EN.CITE &lt;EndNote&gt;&lt;Cite&gt;&lt;Author&gt;Voskuil&lt;/Author&gt;&lt;Year&gt;2014&lt;/Year&gt;&lt;RecNum&gt;149&lt;/RecNum&gt;&lt;DisplayText&gt;[11]&lt;/DisplayText&gt;&lt;record&gt;&lt;rec-number&gt;149&lt;/rec-number&gt;&lt;foreign-keys&gt;&lt;key app="EN" db-id="922z0aw9wfta05e2a0s5wzah2eawzfx92wzt" timestamp="1523973028"&gt;149&lt;/key&gt;&lt;key app="ENWeb" db-id=""&gt;0&lt;/key&gt;&lt;/foreign-keys&gt;&lt;ref-type name="Journal Article"&gt;17&lt;/ref-type&gt;&lt;contributors&gt;&lt;authors&gt;&lt;author&gt;Voskuil, J. L. A.&lt;/author&gt;&lt;/authors&gt;&lt;/contributors&gt;&lt;titles&gt;&lt;title&gt;Commercial antibodies and their validation&lt;/title&gt;&lt;secondary-title&gt;F1000Research&lt;/secondary-title&gt;&lt;/titles&gt;&lt;periodical&gt;&lt;full-title&gt;F1000Research&lt;/full-title&gt;&lt;/periodical&gt;&lt;pages&gt;232&lt;/pages&gt;&lt;volume&gt;3&lt;/volume&gt;&lt;dates&gt;&lt;year&gt;2014&lt;/year&gt;&lt;pub-dates&gt;&lt;date&gt;10/15&amp;#xD;10/14/accepted&lt;/date&gt;&lt;/pub-dates&gt;&lt;/dates&gt;&lt;pub-location&gt;London, UK&lt;/pub-location&gt;&lt;publisher&gt;F1000Research&lt;/publisher&gt;&lt;isbn&gt;2046-1402&lt;/isbn&gt;&lt;accession-num&gt;PMC4197739&lt;/accession-num&gt;&lt;urls&gt;&lt;related-urls&gt;&lt;url&gt;http://www.ncbi.nlm.nih.gov/pmc/articles/PMC4197739/&lt;/url&gt;&lt;url&gt;https://f1000researchdata.s3.amazonaws.com/manuscripts/5893/7f0ea649-5496-485e-9e51-8f0d051bd53c_4966_-_jan_voskuil_v2_edited.pdf?doi=10.12688/f1000research.4966.2&lt;/url&gt;&lt;/related-urls&gt;&lt;/urls&gt;&lt;electronic-resource-num&gt;10.12688/f1000research.4966.2&lt;/electronic-resource-num&gt;&lt;remote-database-name&gt;PMC&lt;/remote-database-name&gt;&lt;/record&gt;&lt;/Cite&gt;&lt;/EndNote&gt;</w:instrText>
      </w:r>
      <w:r w:rsidR="00A51F85">
        <w:fldChar w:fldCharType="separate"/>
      </w:r>
      <w:r>
        <w:rPr>
          <w:noProof/>
        </w:rPr>
        <w:t>[11]</w:t>
      </w:r>
      <w:r w:rsidR="00A51F85">
        <w:fldChar w:fldCharType="end"/>
      </w:r>
      <w:r>
        <w:t xml:space="preserve">. However, purified protein is not the same as the complex biological sample that the antibody would normally be used in. A physiologically relevant control sample that is known to (over)express the protein of interest would be better to use </w:t>
      </w:r>
      <w:r w:rsidR="00A51F85">
        <w:fldChar w:fldCharType="begin"/>
      </w:r>
      <w:r>
        <w:instrText xml:space="preserve"> ADDIN EN.CITE &lt;EndNote&gt;&lt;Cite&gt;&lt;Author&gt;Acharya&lt;/Author&gt;&lt;Year&gt;2017&lt;/Year&gt;&lt;RecNum&gt;127&lt;/RecNum&gt;&lt;DisplayText&gt;[12]&lt;/DisplayText&gt;&lt;record&gt;&lt;rec-number&gt;127&lt;/rec-number&gt;&lt;foreign-keys&gt;&lt;key app="EN" db-id="922z0aw9wfta05e2a0s5wzah2eawzfx92wzt" timestamp="1522233762"&gt;127&lt;/key&gt;&lt;/foreign-keys&gt;&lt;ref-type name="Journal Article"&gt;17&lt;/ref-type&gt;&lt;contributors&gt;&lt;authors&gt;&lt;author&gt;Acharya, Poulomi&lt;/author&gt;&lt;author&gt;Quinlan, Anna&lt;/author&gt;&lt;author&gt;Neumeister, Veronique&lt;/author&gt;&lt;/authors&gt;&lt;/contributors&gt;&lt;titles&gt;&lt;title&gt;The ABCs of finding a good antibody: How to find a good antibody, validate it, and publish meaningful data&lt;/title&gt;&lt;secondary-title&gt;F1000Research&lt;/secondary-title&gt;&lt;/titles&gt;&lt;periodical&gt;&lt;full-title&gt;F1000Research&lt;/full-title&gt;&lt;/periodical&gt;&lt;volume&gt;6&lt;/volume&gt;&lt;dates&gt;&lt;year&gt;2017&lt;/year&gt;&lt;/dates&gt;&lt;urls&gt;&lt;/urls&gt;&lt;/record&gt;&lt;/Cite&gt;&lt;/EndNote&gt;</w:instrText>
      </w:r>
      <w:r w:rsidR="00A51F85">
        <w:fldChar w:fldCharType="separate"/>
      </w:r>
      <w:r>
        <w:rPr>
          <w:noProof/>
        </w:rPr>
        <w:t>[12]</w:t>
      </w:r>
      <w:r w:rsidR="00A51F85">
        <w:fldChar w:fldCharType="end"/>
      </w:r>
      <w:r>
        <w:t xml:space="preserve">. Cells that are not expressing the target protein, but have been transfected with the protein of interest, can also be used as controls </w:t>
      </w:r>
      <w:r w:rsidR="00A51F85">
        <w:fldChar w:fldCharType="begin"/>
      </w:r>
      <w:r>
        <w:instrText xml:space="preserve"> ADDIN EN.CITE &lt;EndNote&gt;&lt;Cite&gt;&lt;Author&gt;Bordeaux&lt;/Author&gt;&lt;Year&gt;2010&lt;/Year&gt;&lt;RecNum&gt;1&lt;/RecNum&gt;&lt;DisplayText&gt;[3]&lt;/DisplayText&gt;&lt;record&gt;&lt;rec-number&gt;1&lt;/rec-number&gt;&lt;foreign-keys&gt;&lt;key app="EN" db-id="922z0aw9wfta05e2a0s5wzah2eawzfx92wzt" timestamp="1518271404"&gt;1&lt;/key&gt;&lt;/foreign-keys&gt;&lt;ref-type name="Journal Article"&gt;17&lt;/ref-type&gt;&lt;contributors&gt;&lt;authors&gt;&lt;author&gt;Bordeaux, Jennifer&lt;/author&gt;&lt;author&gt;Welsh, Allison W&lt;/author&gt;&lt;author&gt;Agarwal, Seema&lt;/author&gt;&lt;author&gt;Killiam, Elizabeth&lt;/author&gt;&lt;author&gt;Baquero, Maria T&lt;/author&gt;&lt;author&gt;Hanna, Jason A&lt;/author&gt;&lt;author&gt;Anagnostou, Valsamo K&lt;/author&gt;&lt;author&gt;Rimm, David L&lt;/author&gt;&lt;/authors&gt;&lt;/contributors&gt;&lt;titles&gt;&lt;title&gt;Antibody validation&lt;/title&gt;&lt;secondary-title&gt;Biotechniques&lt;/secondary-title&gt;&lt;/titles&gt;&lt;periodical&gt;&lt;full-title&gt;Biotechniques&lt;/full-title&gt;&lt;/periodical&gt;&lt;pages&gt;197&lt;/pages&gt;&lt;volume&gt;48&lt;/volume&gt;&lt;number&gt;3&lt;/number&gt;&lt;dates&gt;&lt;year&gt;2010&lt;/year&gt;&lt;/dates&gt;&lt;urls&gt;&lt;related-urls&gt;&lt;url&gt;https://www.ncbi.nlm.nih.gov/pmc/articles/PMC3891910/pdf/nihms540371.pdf&lt;/url&gt;&lt;/related-urls&gt;&lt;/urls&gt;&lt;/record&gt;&lt;/Cite&gt;&lt;/EndNote&gt;</w:instrText>
      </w:r>
      <w:r w:rsidR="00A51F85">
        <w:fldChar w:fldCharType="separate"/>
      </w:r>
      <w:r>
        <w:rPr>
          <w:noProof/>
        </w:rPr>
        <w:t>[3]</w:t>
      </w:r>
      <w:r w:rsidR="00A51F85">
        <w:fldChar w:fldCharType="end"/>
      </w:r>
      <w:r>
        <w:t>.</w:t>
      </w:r>
    </w:p>
    <w:p w:rsidR="005F4054" w:rsidRDefault="005F4054" w:rsidP="005F4054">
      <w:pPr>
        <w:pStyle w:val="NoSpacing"/>
        <w:ind w:firstLine="720"/>
        <w:jc w:val="both"/>
      </w:pPr>
      <w:r>
        <w:t xml:space="preserve">Overexpression of the target should be done with caution, since overexpressed systems are prone to abnormal results in which the target can be mislocalized </w:t>
      </w:r>
      <w:r w:rsidR="00A51F85">
        <w:fldChar w:fldCharType="begin"/>
      </w:r>
      <w:r>
        <w:instrText xml:space="preserve"> ADDIN EN.CITE &lt;EndNote&gt;&lt;Cite&gt;&lt;Author&gt;GBSI&lt;/Author&gt;&lt;Year&gt;2016&lt;/Year&gt;&lt;RecNum&gt;172&lt;/RecNum&gt;&lt;DisplayText&gt;[8]&lt;/DisplayText&gt;&lt;record&gt;&lt;rec-number&gt;172&lt;/rec-number&gt;&lt;foreign-keys&gt;&lt;key app="EN" db-id="922z0aw9wfta05e2a0s5wzah2eawzfx92wzt" timestamp="1526300324"&gt;172&lt;/key&gt;&lt;key app="ENWeb" db-id=""&gt;0&lt;/key&gt;&lt;/foreign-keys&gt;&lt;ref-type name="Report"&gt;27&lt;/ref-type&gt;&lt;contributors&gt;&lt;authors&gt;&lt;author&gt;GBSI&lt;/author&gt;&lt;/authors&gt;&lt;/contributors&gt;&lt;titles&gt;&lt;title&gt;Drivers for Adoption: Ensuring Acceptance and Compliance by the Research Community&lt;/title&gt;&lt;/titles&gt;&lt;dates&gt;&lt;year&gt;2016&lt;/year&gt;&lt;/dates&gt;&lt;publisher&gt;Global Biological Standards Institute&lt;/publisher&gt;&lt;urls&gt;&lt;related-urls&gt;&lt;url&gt;http://www.gbsi.org/wp-content/uploads/2017/11/Driving-Adoption.pdf&lt;/url&gt;&lt;/related-urls&gt;&lt;/urls&gt;&lt;/record&gt;&lt;/Cite&gt;&lt;/EndNote&gt;</w:instrText>
      </w:r>
      <w:r w:rsidR="00A51F85">
        <w:fldChar w:fldCharType="separate"/>
      </w:r>
      <w:r>
        <w:rPr>
          <w:noProof/>
        </w:rPr>
        <w:t>[8]</w:t>
      </w:r>
      <w:r w:rsidR="00A51F85">
        <w:fldChar w:fldCharType="end"/>
      </w:r>
      <w:r>
        <w:t xml:space="preserve">. This method can thus be useful to determine if the antibody binds to the target, but should be applied with caution if the aim is to visualize the location of protein expression in the cell. </w:t>
      </w:r>
    </w:p>
    <w:p w:rsidR="005F4054" w:rsidRDefault="005F4054" w:rsidP="005F4054">
      <w:pPr>
        <w:pStyle w:val="NoSpacing"/>
        <w:ind w:firstLine="720"/>
        <w:jc w:val="both"/>
      </w:pPr>
      <w:r>
        <w:t xml:space="preserve">These methods would serve as positive controls and only using a positive control is not sufficient to ensure antibody reliability, since this control does not show whether it stains other proteins also present in the sample </w:t>
      </w:r>
      <w:r w:rsidR="00A51F85">
        <w:fldChar w:fldCharType="begin"/>
      </w:r>
      <w:r>
        <w:instrText xml:space="preserve"> ADDIN EN.CITE &lt;EndNote&gt;&lt;Cite&gt;&lt;Author&gt;Gilda&lt;/Author&gt;&lt;Year&gt;2015&lt;/Year&gt;&lt;RecNum&gt;89&lt;/RecNum&gt;&lt;DisplayText&gt;[13]&lt;/DisplayText&gt;&lt;record&gt;&lt;rec-number&gt;89&lt;/rec-number&gt;&lt;foreign-keys&gt;&lt;key app="EN" db-id="922z0aw9wfta05e2a0s5wzah2eawzfx92wzt" timestamp="1521018352"&gt;89&lt;/key&gt;&lt;/foreign-keys&gt;&lt;ref-type name="Book"&gt;6&lt;/ref-type&gt;&lt;contributors&gt;&lt;authors&gt;&lt;author&gt;Gilda, Jennifer&lt;/author&gt;&lt;author&gt;Ghosh, Rajeshwary&lt;/author&gt;&lt;author&gt;X Cheah, Jenice&lt;/author&gt;&lt;author&gt;M West, Toni&lt;/author&gt;&lt;author&gt;Bodine, Sue&lt;/author&gt;&lt;author&gt;Gomes, Aldrin&lt;/author&gt;&lt;/authors&gt;&lt;/contributors&gt;&lt;titles&gt;&lt;title&gt;Western Blotting Inaccuracies with Unverified Antibodies: Need for a Western Blotting Minimal Reporting Standard (WBMRS)&lt;/title&gt;&lt;/titles&gt;&lt;pages&gt;e0135392&lt;/pages&gt;&lt;volume&gt;10&lt;/volume&gt;&lt;dates&gt;&lt;year&gt;2015&lt;/year&gt;&lt;/dates&gt;&lt;urls&gt;&lt;related-urls&gt;&lt;url&gt;http://journals.plos.org/plosone/article/file?id=10.1371/journal.pone.0135392&amp;amp;type=printable&lt;/url&gt;&lt;/related-urls&gt;&lt;/urls&gt;&lt;electronic-resource-num&gt;10.1371/journal.pone.0135392&lt;/electronic-resource-num&gt;&lt;/record&gt;&lt;/Cite&gt;&lt;/EndNote&gt;</w:instrText>
      </w:r>
      <w:r w:rsidR="00A51F85">
        <w:fldChar w:fldCharType="separate"/>
      </w:r>
      <w:r>
        <w:rPr>
          <w:noProof/>
        </w:rPr>
        <w:t>[13]</w:t>
      </w:r>
      <w:r w:rsidR="00A51F85">
        <w:fldChar w:fldCharType="end"/>
      </w:r>
      <w:r>
        <w:t xml:space="preserve">. As with pre-adsorption, this method can show that the antibody binds to the target, but not that it is not cross-reactive. </w:t>
      </w:r>
    </w:p>
    <w:p w:rsidR="005F4054" w:rsidRDefault="005F4054" w:rsidP="005F4054">
      <w:pPr>
        <w:pStyle w:val="Heading4"/>
        <w:numPr>
          <w:ilvl w:val="0"/>
          <w:numId w:val="0"/>
        </w:numPr>
        <w:spacing w:line="240" w:lineRule="auto"/>
        <w:jc w:val="both"/>
      </w:pPr>
      <w:r>
        <w:t>N</w:t>
      </w:r>
      <w:r w:rsidRPr="00687B76">
        <w:t>egative</w:t>
      </w:r>
      <w:r>
        <w:t xml:space="preserve"> control </w:t>
      </w:r>
    </w:p>
    <w:p w:rsidR="005F4054" w:rsidRDefault="005F4054" w:rsidP="005F4054">
      <w:pPr>
        <w:pStyle w:val="NoSpacing"/>
        <w:jc w:val="both"/>
        <w:rPr>
          <w:rFonts w:cs="Helvetica"/>
          <w:color w:val="000000"/>
        </w:rPr>
      </w:pPr>
      <w:r>
        <w:t>Negative controls are tissues or cells that do not contain the target protein. In</w:t>
      </w:r>
      <w:r w:rsidRPr="00B12D83">
        <w:t xml:space="preserve"> WB</w:t>
      </w:r>
      <w:r>
        <w:t xml:space="preserve"> they</w:t>
      </w:r>
      <w:r w:rsidRPr="00B12D83">
        <w:t xml:space="preserve"> could</w:t>
      </w:r>
      <w:r>
        <w:t xml:space="preserve"> be samples obtained from knock</w:t>
      </w:r>
      <w:r w:rsidRPr="00B12D83">
        <w:t xml:space="preserve">out animals, that do not express the target protein </w:t>
      </w:r>
      <w:r w:rsidR="00A51F85" w:rsidRPr="00B12D83">
        <w:rPr>
          <w:rFonts w:cs="Helvetica"/>
          <w:color w:val="000000"/>
        </w:rPr>
        <w:fldChar w:fldCharType="begin"/>
      </w:r>
      <w:r>
        <w:rPr>
          <w:rFonts w:cs="Helvetica"/>
          <w:color w:val="000000"/>
        </w:rPr>
        <w:instrText xml:space="preserve"> ADDIN EN.CITE &lt;EndNote&gt;&lt;Cite&gt;&lt;Author&gt;Gilda&lt;/Author&gt;&lt;Year&gt;2015&lt;/Year&gt;&lt;RecNum&gt;89&lt;/RecNum&gt;&lt;DisplayText&gt;[13]&lt;/DisplayText&gt;&lt;record&gt;&lt;rec-number&gt;89&lt;/rec-number&gt;&lt;foreign-keys&gt;&lt;key app="EN" db-id="922z0aw9wfta05e2a0s5wzah2eawzfx92wzt" timestamp="1521018352"&gt;89&lt;/key&gt;&lt;/foreign-keys&gt;&lt;ref-type name="Book"&gt;6&lt;/ref-type&gt;&lt;contributors&gt;&lt;authors&gt;&lt;author&gt;Gilda, Jennifer&lt;/author&gt;&lt;author&gt;Ghosh, Rajeshwary&lt;/author&gt;&lt;author&gt;X Cheah, Jenice&lt;/author&gt;&lt;author&gt;M West, Toni&lt;/author&gt;&lt;author&gt;Bodine, Sue&lt;/author&gt;&lt;author&gt;Gomes, Aldrin&lt;/author&gt;&lt;/authors&gt;&lt;/contributors&gt;&lt;titles&gt;&lt;title&gt;Western Blotting Inaccuracies with Unverified Antibodies: Need for a Western Blotting Minimal Reporting Standard (WBMRS)&lt;/title&gt;&lt;/titles&gt;&lt;pages&gt;e0135392&lt;/pages&gt;&lt;volume&gt;10&lt;/volume&gt;&lt;dates&gt;&lt;year&gt;2015&lt;/year&gt;&lt;/dates&gt;&lt;urls&gt;&lt;related-urls&gt;&lt;url&gt;http://journals.plos.org/plosone/article/file?id=10.1371/journal.pone.0135392&amp;amp;type=printable&lt;/url&gt;&lt;/related-urls&gt;&lt;/urls&gt;&lt;electronic-resource-num&gt;10.1371/journal.pone.0135392&lt;/electronic-resource-num&gt;&lt;/record&gt;&lt;/Cite&gt;&lt;/EndNote&gt;</w:instrText>
      </w:r>
      <w:r w:rsidR="00A51F85" w:rsidRPr="00B12D83">
        <w:rPr>
          <w:rFonts w:cs="Helvetica"/>
          <w:color w:val="000000"/>
        </w:rPr>
        <w:fldChar w:fldCharType="separate"/>
      </w:r>
      <w:r>
        <w:rPr>
          <w:rFonts w:cs="Helvetica"/>
          <w:noProof/>
          <w:color w:val="000000"/>
        </w:rPr>
        <w:t>[13]</w:t>
      </w:r>
      <w:r w:rsidR="00A51F85" w:rsidRPr="00B12D83">
        <w:rPr>
          <w:rFonts w:cs="Helvetica"/>
          <w:color w:val="000000"/>
        </w:rPr>
        <w:fldChar w:fldCharType="end"/>
      </w:r>
      <w:r w:rsidRPr="00B12D83">
        <w:rPr>
          <w:rFonts w:cs="Helvetica"/>
          <w:color w:val="000000"/>
        </w:rPr>
        <w:t>. Cells in which the protein expression is stopped by RNA</w:t>
      </w:r>
      <w:r>
        <w:rPr>
          <w:rFonts w:cs="Helvetica"/>
          <w:color w:val="000000"/>
        </w:rPr>
        <w:t xml:space="preserve"> interference can also be used </w:t>
      </w:r>
      <w:r w:rsidR="00A51F85">
        <w:rPr>
          <w:rFonts w:cs="Helvetica"/>
          <w:color w:val="000000"/>
        </w:rPr>
        <w:fldChar w:fldCharType="begin"/>
      </w:r>
      <w:r>
        <w:rPr>
          <w:rFonts w:cs="Helvetica"/>
          <w:color w:val="000000"/>
        </w:rPr>
        <w:instrText xml:space="preserve"> ADDIN EN.CITE &lt;EndNote&gt;&lt;Cite&gt;&lt;Author&gt;Weller&lt;/Author&gt;&lt;Year&gt;2016&lt;/Year&gt;&lt;RecNum&gt;9&lt;/RecNum&gt;&lt;DisplayText&gt;[14]&lt;/DisplayText&gt;&lt;record&gt;&lt;rec-number&gt;9&lt;/rec-number&gt;&lt;foreign-keys&gt;&lt;key app="EN" db-id="922z0aw9wfta05e2a0s5wzah2eawzfx92wzt" timestamp="1518275820"&gt;9&lt;/key&gt;&lt;/foreign-keys&gt;&lt;ref-type name="Journal Article"&gt;17&lt;/ref-type&gt;&lt;contributors&gt;&lt;authors&gt;&lt;author&gt;Weller, Michael G&lt;/author&gt;&lt;/authors&gt;&lt;/contributors&gt;&lt;titles&gt;&lt;title&gt;Quality issues of research antibodies&lt;/title&gt;&lt;secondary-title&gt;Analytical chemistry insights&lt;/secondary-title&gt;&lt;/titles&gt;&lt;periodical&gt;&lt;full-title&gt;Analytical chemistry insights&lt;/full-title&gt;&lt;/periodical&gt;&lt;pages&gt;ACI. S31614&lt;/pages&gt;&lt;volume&gt;11&lt;/volume&gt;&lt;dates&gt;&lt;year&gt;2016&lt;/year&gt;&lt;/dates&gt;&lt;isbn&gt;1177-3901&lt;/isbn&gt;&lt;urls&gt;&lt;/urls&gt;&lt;/record&gt;&lt;/Cite&gt;&lt;/EndNote&gt;</w:instrText>
      </w:r>
      <w:r w:rsidR="00A51F85">
        <w:rPr>
          <w:rFonts w:cs="Helvetica"/>
          <w:color w:val="000000"/>
        </w:rPr>
        <w:fldChar w:fldCharType="separate"/>
      </w:r>
      <w:r>
        <w:rPr>
          <w:rFonts w:cs="Helvetica"/>
          <w:noProof/>
          <w:color w:val="000000"/>
        </w:rPr>
        <w:t>[14]</w:t>
      </w:r>
      <w:r w:rsidR="00A51F85">
        <w:rPr>
          <w:rFonts w:cs="Helvetica"/>
          <w:color w:val="000000"/>
        </w:rPr>
        <w:fldChar w:fldCharType="end"/>
      </w:r>
      <w:r w:rsidRPr="00B12D83">
        <w:rPr>
          <w:rFonts w:cs="Helvetica"/>
          <w:color w:val="000000"/>
        </w:rPr>
        <w:t xml:space="preserve">. </w:t>
      </w:r>
      <w:r>
        <w:rPr>
          <w:rFonts w:cs="Helvetica"/>
          <w:color w:val="000000"/>
        </w:rPr>
        <w:t>C</w:t>
      </w:r>
      <w:r w:rsidRPr="00B12D83">
        <w:rPr>
          <w:rFonts w:cs="Helvetica"/>
          <w:color w:val="000000"/>
        </w:rPr>
        <w:t xml:space="preserve">ells or tissues which are known not to express the target protein can also be appropriate negative controls </w:t>
      </w:r>
      <w:r w:rsidR="00A51F85" w:rsidRPr="00B12D83">
        <w:fldChar w:fldCharType="begin"/>
      </w:r>
      <w:r>
        <w:instrText xml:space="preserve"> ADDIN EN.CITE &lt;EndNote&gt;&lt;Cite&gt;&lt;Author&gt;Bordeaux&lt;/Author&gt;&lt;Year&gt;2010&lt;/Year&gt;&lt;RecNum&gt;1&lt;/RecNum&gt;&lt;DisplayText&gt;[3]&lt;/DisplayText&gt;&lt;record&gt;&lt;rec-number&gt;1&lt;/rec-number&gt;&lt;foreign-keys&gt;&lt;key app="EN" db-id="922z0aw9wfta05e2a0s5wzah2eawzfx92wzt" timestamp="1518271404"&gt;1&lt;/key&gt;&lt;/foreign-keys&gt;&lt;ref-type name="Journal Article"&gt;17&lt;/ref-type&gt;&lt;contributors&gt;&lt;authors&gt;&lt;author&gt;Bordeaux, Jennifer&lt;/author&gt;&lt;author&gt;Welsh, Allison W&lt;/author&gt;&lt;author&gt;Agarwal, Seema&lt;/author&gt;&lt;author&gt;Killiam, Elizabeth&lt;/author&gt;&lt;author&gt;Baquero, Maria T&lt;/author&gt;&lt;author&gt;Hanna, Jason A&lt;/author&gt;&lt;author&gt;Anagnostou, Valsamo K&lt;/author&gt;&lt;author&gt;Rimm, David L&lt;/author&gt;&lt;/authors&gt;&lt;/contributors&gt;&lt;titles&gt;&lt;title&gt;Antibody validation&lt;/title&gt;&lt;secondary-title&gt;Biotechniques&lt;/secondary-title&gt;&lt;/titles&gt;&lt;periodical&gt;&lt;full-title&gt;Biotechniques&lt;/full-title&gt;&lt;/periodical&gt;&lt;pages&gt;197&lt;/pages&gt;&lt;volume&gt;48&lt;/volume&gt;&lt;number&gt;3&lt;/number&gt;&lt;dates&gt;&lt;year&gt;2010&lt;/year&gt;&lt;/dates&gt;&lt;urls&gt;&lt;related-urls&gt;&lt;url&gt;https://www.ncbi.nlm.nih.gov/pmc/articles/PMC3891910/pdf/nihms540371.pdf&lt;/url&gt;&lt;/related-urls&gt;&lt;/urls&gt;&lt;/record&gt;&lt;/Cite&gt;&lt;/EndNote&gt;</w:instrText>
      </w:r>
      <w:r w:rsidR="00A51F85" w:rsidRPr="00B12D83">
        <w:fldChar w:fldCharType="separate"/>
      </w:r>
      <w:r>
        <w:rPr>
          <w:noProof/>
        </w:rPr>
        <w:t>[3]</w:t>
      </w:r>
      <w:r w:rsidR="00A51F85" w:rsidRPr="00B12D83">
        <w:fldChar w:fldCharType="end"/>
      </w:r>
      <w:r w:rsidRPr="00B12D83">
        <w:rPr>
          <w:rFonts w:cs="Helvetica"/>
          <w:color w:val="000000"/>
        </w:rPr>
        <w:t>. If the antibody stains these samples</w:t>
      </w:r>
      <w:r>
        <w:rPr>
          <w:rFonts w:cs="Helvetica"/>
          <w:color w:val="000000"/>
        </w:rPr>
        <w:t>, then</w:t>
      </w:r>
      <w:r w:rsidRPr="00B12D83">
        <w:rPr>
          <w:rFonts w:cs="Helvetica"/>
          <w:color w:val="000000"/>
        </w:rPr>
        <w:t xml:space="preserve"> cross-reactivity is shown, and the antibody is not reliable for the target protein. </w:t>
      </w:r>
    </w:p>
    <w:p w:rsidR="005F4054" w:rsidRDefault="005F4054" w:rsidP="005F4054">
      <w:pPr>
        <w:pStyle w:val="Appendixstyle2"/>
        <w:spacing w:line="240" w:lineRule="auto"/>
      </w:pPr>
      <w:bookmarkStart w:id="19" w:name="_Toc531105195"/>
      <w:bookmarkStart w:id="20" w:name="_Toc531348896"/>
      <w:bookmarkStart w:id="21" w:name="_Toc532136272"/>
      <w:bookmarkStart w:id="22" w:name="_Toc532464325"/>
      <w:r>
        <w:t>Five pillars of a</w:t>
      </w:r>
      <w:r w:rsidRPr="00B950DF">
        <w:t>ntibody</w:t>
      </w:r>
      <w:r>
        <w:t xml:space="preserve"> validation</w:t>
      </w:r>
      <w:bookmarkEnd w:id="19"/>
      <w:bookmarkEnd w:id="20"/>
      <w:bookmarkEnd w:id="21"/>
      <w:bookmarkEnd w:id="22"/>
    </w:p>
    <w:p w:rsidR="005F4054" w:rsidRPr="000A3805" w:rsidRDefault="005F4054" w:rsidP="005F4054">
      <w:pPr>
        <w:jc w:val="both"/>
        <w:rPr>
          <w:sz w:val="22"/>
          <w:szCs w:val="22"/>
        </w:rPr>
      </w:pPr>
      <w:r w:rsidRPr="000A3805">
        <w:rPr>
          <w:sz w:val="22"/>
          <w:szCs w:val="22"/>
          <w:lang w:val="en-US"/>
        </w:rPr>
        <w:t xml:space="preserve">In 2016, five pillars of antibody validation, to be used by researchers as well as producers of antibodies, have been proposed by Uhlén et al. The five pillars provide strategies to test if an antibody is specific to its target and to show if there is cross-reactivity or not in the application tested. Uhlén et al. state that at least one of the five strategies should be used to claim that an antibody has been validated for use under specific conditions </w:t>
      </w:r>
      <w:r w:rsidR="00A51F85" w:rsidRPr="000A3805">
        <w:rPr>
          <w:sz w:val="22"/>
          <w:szCs w:val="22"/>
        </w:rPr>
        <w:fldChar w:fldCharType="begin"/>
      </w:r>
      <w:r w:rsidRPr="000A3805">
        <w:rPr>
          <w:sz w:val="22"/>
          <w:szCs w:val="22"/>
          <w:lang w:val="en-US"/>
        </w:rPr>
        <w:instrText xml:space="preserve"> ADDIN EN.CITE &lt;EndNote&gt;&lt;Cite&gt;&lt;Author&gt;Uhlen&lt;/Author&gt;&lt;Year&gt;2016&lt;/Year&gt;&lt;RecNum&gt;44&lt;/RecNum&gt;&lt;DisplayText&gt;[4]&lt;/DisplayText&gt;&lt;record&gt;&lt;rec-number&gt;44&lt;/rec-number&gt;&lt;foreign-keys&gt;&lt;key app="EN" db-id="922z0aw9wfta05e2a0s5wzah2eawzfx92wzt" timestamp="1519751481"&gt;44&lt;/key&gt;&lt;/foreign-keys&gt;&lt;ref-type name="Journal Article"&gt;17&lt;/ref-type&gt;&lt;contributors&gt;&lt;authors&gt;&lt;author&gt;Uhlen, Mathias&lt;/author&gt;&lt;author&gt;Bandrowski, Anita&lt;/author&gt;&lt;author&gt;Carr, Steven&lt;/author&gt;&lt;author&gt;Edwards, Aled&lt;/author&gt;&lt;author&gt;Ellenberg, Jan&lt;/author&gt;&lt;author&gt;Lundberg, Emma&lt;/author&gt;&lt;author&gt;Rimm, David L.&lt;/author&gt;&lt;author&gt;Rodriguez, Henry&lt;/author&gt;&lt;author&gt;Hiltke, Tara&lt;/author&gt;&lt;author&gt;Snyder, Michael&lt;/author&gt;&lt;author&gt;Yamamoto, Tadashi&lt;/author&gt;&lt;/authors&gt;&lt;/contributors&gt;&lt;titles&gt;&lt;title&gt;A proposal for validation of antibodies&lt;/title&gt;&lt;secondary-title&gt;Nature Methods&lt;/secondary-title&gt;&lt;/titles&gt;&lt;periodical&gt;&lt;full-title&gt;Nature Methods&lt;/full-title&gt;&lt;/periodical&gt;&lt;pages&gt;823&lt;/pages&gt;&lt;volume&gt;13&lt;/volume&gt;&lt;dates&gt;&lt;year&gt;2016&lt;/year&gt;&lt;pub-dates&gt;&lt;date&gt;09/05/online&lt;/date&gt;&lt;/pub-dates&gt;&lt;/dates&gt;&lt;publisher&gt;Nature Publishing Group, a division of Macmillan Publishers Limited. All Rights Reserved.&lt;/publisher&gt;&lt;urls&gt;&lt;related-urls&gt;&lt;url&gt;http://dx.doi.org/10.1038/nmeth.3995&lt;/url&gt;&lt;url&gt;http://www.nature.com/articles/nmeth.3995.pdf&lt;/url&gt;&lt;/related-urls&gt;&lt;/urls&gt;&lt;electronic-resource-num&gt;10.1038/nmeth.3995&amp;#xD;https://www.nature.com/articles/nmeth.3995#supplementary-information&lt;/electronic-resource-num&gt;&lt;/record&gt;&lt;/Cite&gt;&lt;/EndNote&gt;</w:instrText>
      </w:r>
      <w:r w:rsidR="00A51F85" w:rsidRPr="000A3805">
        <w:rPr>
          <w:sz w:val="22"/>
          <w:szCs w:val="22"/>
        </w:rPr>
        <w:fldChar w:fldCharType="separate"/>
      </w:r>
      <w:r w:rsidRPr="000A3805">
        <w:rPr>
          <w:noProof/>
          <w:sz w:val="22"/>
          <w:szCs w:val="22"/>
          <w:lang w:val="en-US"/>
        </w:rPr>
        <w:t>[4]</w:t>
      </w:r>
      <w:r w:rsidR="00A51F85" w:rsidRPr="000A3805">
        <w:rPr>
          <w:sz w:val="22"/>
          <w:szCs w:val="22"/>
        </w:rPr>
        <w:fldChar w:fldCharType="end"/>
      </w:r>
      <w:r w:rsidRPr="000A3805">
        <w:rPr>
          <w:sz w:val="22"/>
          <w:szCs w:val="22"/>
          <w:lang w:val="en-US"/>
        </w:rPr>
        <w:t xml:space="preserve">. </w:t>
      </w:r>
      <w:r w:rsidRPr="000A3805">
        <w:rPr>
          <w:sz w:val="22"/>
          <w:szCs w:val="22"/>
        </w:rPr>
        <w:t xml:space="preserve">The five pillars are described below. </w:t>
      </w:r>
    </w:p>
    <w:p w:rsidR="005F4054" w:rsidRDefault="005F4054" w:rsidP="005F4054">
      <w:pPr>
        <w:pStyle w:val="Heading4"/>
        <w:spacing w:line="240" w:lineRule="auto"/>
        <w:jc w:val="both"/>
      </w:pPr>
      <w:r>
        <w:t xml:space="preserve">Genetic strategies </w:t>
      </w:r>
    </w:p>
    <w:p w:rsidR="005F4054" w:rsidRPr="000A3805" w:rsidRDefault="005F4054" w:rsidP="005F4054">
      <w:pPr>
        <w:jc w:val="both"/>
        <w:rPr>
          <w:sz w:val="22"/>
          <w:szCs w:val="22"/>
          <w:lang w:val="en-US"/>
        </w:rPr>
      </w:pPr>
      <w:r w:rsidRPr="000A3805">
        <w:rPr>
          <w:sz w:val="22"/>
          <w:szCs w:val="22"/>
          <w:lang w:val="en-US"/>
        </w:rPr>
        <w:t xml:space="preserve">This approach is similar to that of negative controls described above. The specificity of the antibody is tested in control samples in which the target (e.g. protein) is not expressed. This can be accomplished by knocking out the gene with CRISPR-Cas9 or silencing it with RNA interference to reduce or completely stop the protein expression. If a signal is observed in these negative controls, the antibody is cross-reactive and not specific for only its target protein. A drawback to this approach is that it cannot be used for human tissue samples and body fluids </w:t>
      </w:r>
      <w:r w:rsidR="00A51F85" w:rsidRPr="000A3805">
        <w:rPr>
          <w:sz w:val="22"/>
          <w:szCs w:val="22"/>
        </w:rPr>
        <w:fldChar w:fldCharType="begin"/>
      </w:r>
      <w:r w:rsidRPr="000A3805">
        <w:rPr>
          <w:sz w:val="22"/>
          <w:szCs w:val="22"/>
          <w:lang w:val="en-US"/>
        </w:rPr>
        <w:instrText xml:space="preserve"> ADDIN EN.CITE &lt;EndNote&gt;&lt;Cite&gt;&lt;Author&gt;Uhlen&lt;/Author&gt;&lt;Year&gt;2016&lt;/Year&gt;&lt;RecNum&gt;44&lt;/RecNum&gt;&lt;DisplayText&gt;[4]&lt;/DisplayText&gt;&lt;record&gt;&lt;rec-number&gt;44&lt;/rec-number&gt;&lt;foreign-keys&gt;&lt;key app="EN" db-id="922z0aw9wfta05e2a0s5wzah2eawzfx92wzt" timestamp="1519751481"&gt;44&lt;/key&gt;&lt;/foreign-keys&gt;&lt;ref-type name="Journal Article"&gt;17&lt;/ref-type&gt;&lt;contributors&gt;&lt;authors&gt;&lt;author&gt;Uhlen, Mathias&lt;/author&gt;&lt;author&gt;Bandrowski, Anita&lt;/author&gt;&lt;author&gt;Carr, Steven&lt;/author&gt;&lt;author&gt;Edwards, Aled&lt;/author&gt;&lt;author&gt;Ellenberg, Jan&lt;/author&gt;&lt;author&gt;Lundberg, Emma&lt;/author&gt;&lt;author&gt;Rimm, David L.&lt;/author&gt;&lt;author&gt;Rodriguez, Henry&lt;/author&gt;&lt;author&gt;Hiltke, Tara&lt;/author&gt;&lt;author&gt;Snyder, Michael&lt;/author&gt;&lt;author&gt;Yamamoto, Tadashi&lt;/author&gt;&lt;/authors&gt;&lt;/contributors&gt;&lt;titles&gt;&lt;title&gt;A proposal for validation of antibodies&lt;/title&gt;&lt;secondary-title&gt;Nature Methods&lt;/secondary-title&gt;&lt;/titles&gt;&lt;periodical&gt;&lt;full-title&gt;Nature Methods&lt;/full-title&gt;&lt;/periodical&gt;&lt;pages&gt;823&lt;/pages&gt;&lt;volume&gt;13&lt;/volume&gt;&lt;dates&gt;&lt;year&gt;2016&lt;/year&gt;&lt;pub-dates&gt;&lt;date&gt;09/05/online&lt;/date&gt;&lt;/pub-dates&gt;&lt;/dates&gt;&lt;publisher&gt;Nature Publishing Group, a division of Macmillan Publishers Limited. All Rights Reserved.&lt;/publisher&gt;&lt;urls&gt;&lt;related-urls&gt;&lt;url&gt;http://dx.doi.org/10.1038/nmeth.3995&lt;/url&gt;&lt;url&gt;http://www.nature.com/articles/nmeth.3995.pdf&lt;/url&gt;&lt;/related-urls&gt;&lt;/urls&gt;&lt;electronic-resource-num&gt;10.1038/nmeth.3995&amp;#xD;https://www.nature.com/articles/nmeth.3995#supplementary-information&lt;/electronic-resource-num&gt;&lt;/record&gt;&lt;/Cite&gt;&lt;/EndNote&gt;</w:instrText>
      </w:r>
      <w:r w:rsidR="00A51F85" w:rsidRPr="000A3805">
        <w:rPr>
          <w:sz w:val="22"/>
          <w:szCs w:val="22"/>
        </w:rPr>
        <w:fldChar w:fldCharType="separate"/>
      </w:r>
      <w:r w:rsidRPr="000A3805">
        <w:rPr>
          <w:noProof/>
          <w:sz w:val="22"/>
          <w:szCs w:val="22"/>
          <w:lang w:val="en-US"/>
        </w:rPr>
        <w:t>[4]</w:t>
      </w:r>
      <w:r w:rsidR="00A51F85" w:rsidRPr="000A3805">
        <w:rPr>
          <w:sz w:val="22"/>
          <w:szCs w:val="22"/>
        </w:rPr>
        <w:fldChar w:fldCharType="end"/>
      </w:r>
      <w:r w:rsidRPr="000A3805">
        <w:rPr>
          <w:sz w:val="22"/>
          <w:szCs w:val="22"/>
          <w:lang w:val="en-US"/>
        </w:rPr>
        <w:t>.</w:t>
      </w:r>
    </w:p>
    <w:p w:rsidR="005F4054" w:rsidRDefault="005F4054" w:rsidP="005F4054">
      <w:pPr>
        <w:pStyle w:val="Heading4"/>
        <w:spacing w:line="240" w:lineRule="auto"/>
        <w:jc w:val="both"/>
      </w:pPr>
      <w:r>
        <w:t xml:space="preserve">Orthogonal strategies </w:t>
      </w:r>
    </w:p>
    <w:p w:rsidR="005F4054" w:rsidRPr="000A3805" w:rsidRDefault="005F4054" w:rsidP="005F4054">
      <w:pPr>
        <w:jc w:val="both"/>
        <w:rPr>
          <w:sz w:val="22"/>
          <w:szCs w:val="22"/>
          <w:lang w:val="en-US"/>
        </w:rPr>
      </w:pPr>
      <w:r w:rsidRPr="000A3805">
        <w:rPr>
          <w:sz w:val="22"/>
          <w:szCs w:val="22"/>
          <w:lang w:val="en-US"/>
        </w:rPr>
        <w:t xml:space="preserve">With this strategy, an antibody-independent method is used to determine the amount of target protein present across many samples. Then the antibody is used to determine this again. This should be done for a set of samples with varying protein expression. If both methods then correlate strongly </w:t>
      </w:r>
      <w:r w:rsidRPr="000A3805">
        <w:rPr>
          <w:sz w:val="22"/>
          <w:szCs w:val="22"/>
          <w:lang w:val="en-US"/>
        </w:rPr>
        <w:lastRenderedPageBreak/>
        <w:t xml:space="preserve">in their outcomes the antibody is specific for its target </w:t>
      </w:r>
      <w:r w:rsidR="00A51F85" w:rsidRPr="000A3805">
        <w:rPr>
          <w:sz w:val="22"/>
          <w:szCs w:val="22"/>
        </w:rPr>
        <w:fldChar w:fldCharType="begin"/>
      </w:r>
      <w:r w:rsidRPr="000A3805">
        <w:rPr>
          <w:sz w:val="22"/>
          <w:szCs w:val="22"/>
          <w:lang w:val="en-US"/>
        </w:rPr>
        <w:instrText xml:space="preserve"> ADDIN EN.CITE &lt;EndNote&gt;&lt;Cite&gt;&lt;Author&gt;Uhlen&lt;/Author&gt;&lt;Year&gt;2016&lt;/Year&gt;&lt;RecNum&gt;44&lt;/RecNum&gt;&lt;DisplayText&gt;[4]&lt;/DisplayText&gt;&lt;record&gt;&lt;rec-number&gt;44&lt;/rec-number&gt;&lt;foreign-keys&gt;&lt;key app="EN" db-id="922z0aw9wfta05e2a0s5wzah2eawzfx92wzt" timestamp="1519751481"&gt;44&lt;/key&gt;&lt;/foreign-keys&gt;&lt;ref-type name="Journal Article"&gt;17&lt;/ref-type&gt;&lt;contributors&gt;&lt;authors&gt;&lt;author&gt;Uhlen, Mathias&lt;/author&gt;&lt;author&gt;Bandrowski, Anita&lt;/author&gt;&lt;author&gt;Carr, Steven&lt;/author&gt;&lt;author&gt;Edwards, Aled&lt;/author&gt;&lt;author&gt;Ellenberg, Jan&lt;/author&gt;&lt;author&gt;Lundberg, Emma&lt;/author&gt;&lt;author&gt;Rimm, David L.&lt;/author&gt;&lt;author&gt;Rodriguez, Henry&lt;/author&gt;&lt;author&gt;Hiltke, Tara&lt;/author&gt;&lt;author&gt;Snyder, Michael&lt;/author&gt;&lt;author&gt;Yamamoto, Tadashi&lt;/author&gt;&lt;/authors&gt;&lt;/contributors&gt;&lt;titles&gt;&lt;title&gt;A proposal for validation of antibodies&lt;/title&gt;&lt;secondary-title&gt;Nature Methods&lt;/secondary-title&gt;&lt;/titles&gt;&lt;periodical&gt;&lt;full-title&gt;Nature Methods&lt;/full-title&gt;&lt;/periodical&gt;&lt;pages&gt;823&lt;/pages&gt;&lt;volume&gt;13&lt;/volume&gt;&lt;dates&gt;&lt;year&gt;2016&lt;/year&gt;&lt;pub-dates&gt;&lt;date&gt;09/05/online&lt;/date&gt;&lt;/pub-dates&gt;&lt;/dates&gt;&lt;publisher&gt;Nature Publishing Group, a division of Macmillan Publishers Limited. All Rights Reserved.&lt;/publisher&gt;&lt;urls&gt;&lt;related-urls&gt;&lt;url&gt;http://dx.doi.org/10.1038/nmeth.3995&lt;/url&gt;&lt;url&gt;http://www.nature.com/articles/nmeth.3995.pdf&lt;/url&gt;&lt;/related-urls&gt;&lt;/urls&gt;&lt;electronic-resource-num&gt;10.1038/nmeth.3995&amp;#xD;https://www.nature.com/articles/nmeth.3995#supplementary-information&lt;/electronic-resource-num&gt;&lt;/record&gt;&lt;/Cite&gt;&lt;/EndNote&gt;</w:instrText>
      </w:r>
      <w:r w:rsidR="00A51F85" w:rsidRPr="000A3805">
        <w:rPr>
          <w:sz w:val="22"/>
          <w:szCs w:val="22"/>
        </w:rPr>
        <w:fldChar w:fldCharType="separate"/>
      </w:r>
      <w:r w:rsidRPr="000A3805">
        <w:rPr>
          <w:noProof/>
          <w:sz w:val="22"/>
          <w:szCs w:val="22"/>
          <w:lang w:val="en-US"/>
        </w:rPr>
        <w:t>[4]</w:t>
      </w:r>
      <w:r w:rsidR="00A51F85" w:rsidRPr="000A3805">
        <w:rPr>
          <w:sz w:val="22"/>
          <w:szCs w:val="22"/>
        </w:rPr>
        <w:fldChar w:fldCharType="end"/>
      </w:r>
      <w:r w:rsidRPr="000A3805">
        <w:rPr>
          <w:sz w:val="22"/>
          <w:szCs w:val="22"/>
          <w:lang w:val="en-US"/>
        </w:rPr>
        <w:t xml:space="preserve">. In situ hybridization, as well as other methods that compare RNA expression to protein expression, can be seen as orthogonal strategies. </w:t>
      </w:r>
    </w:p>
    <w:p w:rsidR="005F4054" w:rsidRPr="000A3805" w:rsidRDefault="005F4054" w:rsidP="005F4054">
      <w:pPr>
        <w:pStyle w:val="Heading4"/>
        <w:spacing w:line="240" w:lineRule="auto"/>
        <w:jc w:val="both"/>
      </w:pPr>
      <w:bookmarkStart w:id="23" w:name="_Ref525116851"/>
      <w:r w:rsidRPr="000A3805">
        <w:t>Independent antibody strategies</w:t>
      </w:r>
      <w:bookmarkEnd w:id="23"/>
    </w:p>
    <w:p w:rsidR="005F4054" w:rsidRPr="000A3805" w:rsidRDefault="005F4054" w:rsidP="005F4054">
      <w:pPr>
        <w:jc w:val="both"/>
        <w:rPr>
          <w:sz w:val="22"/>
          <w:szCs w:val="22"/>
          <w:lang w:val="en-US"/>
        </w:rPr>
      </w:pPr>
      <w:r w:rsidRPr="000A3805">
        <w:rPr>
          <w:sz w:val="22"/>
          <w:szCs w:val="22"/>
          <w:lang w:val="en-US"/>
        </w:rPr>
        <w:t xml:space="preserve">Two or more independent antibodies for the same target are used to bind to this target in more than one assay. If all antibodies stain the same bands (in WB) or tissue (in IHC), these antibodies are found to be specific for that target </w:t>
      </w:r>
      <w:r w:rsidR="00A51F85" w:rsidRPr="000A3805">
        <w:rPr>
          <w:sz w:val="22"/>
          <w:szCs w:val="22"/>
        </w:rPr>
        <w:fldChar w:fldCharType="begin"/>
      </w:r>
      <w:r w:rsidRPr="000A3805">
        <w:rPr>
          <w:sz w:val="22"/>
          <w:szCs w:val="22"/>
          <w:lang w:val="en-US"/>
        </w:rPr>
        <w:instrText xml:space="preserve"> ADDIN EN.CITE &lt;EndNote&gt;&lt;Cite&gt;&lt;Author&gt;Uhlen&lt;/Author&gt;&lt;Year&gt;2016&lt;/Year&gt;&lt;RecNum&gt;44&lt;/RecNum&gt;&lt;DisplayText&gt;[4]&lt;/DisplayText&gt;&lt;record&gt;&lt;rec-number&gt;44&lt;/rec-number&gt;&lt;foreign-keys&gt;&lt;key app="EN" db-id="922z0aw9wfta05e2a0s5wzah2eawzfx92wzt" timestamp="1519751481"&gt;44&lt;/key&gt;&lt;/foreign-keys&gt;&lt;ref-type name="Journal Article"&gt;17&lt;/ref-type&gt;&lt;contributors&gt;&lt;authors&gt;&lt;author&gt;Uhlen, Mathias&lt;/author&gt;&lt;author&gt;Bandrowski, Anita&lt;/author&gt;&lt;author&gt;Carr, Steven&lt;/author&gt;&lt;author&gt;Edwards, Aled&lt;/author&gt;&lt;author&gt;Ellenberg, Jan&lt;/author&gt;&lt;author&gt;Lundberg, Emma&lt;/author&gt;&lt;author&gt;Rimm, David L.&lt;/author&gt;&lt;author&gt;Rodriguez, Henry&lt;/author&gt;&lt;author&gt;Hiltke, Tara&lt;/author&gt;&lt;author&gt;Snyder, Michael&lt;/author&gt;&lt;author&gt;Yamamoto, Tadashi&lt;/author&gt;&lt;/authors&gt;&lt;/contributors&gt;&lt;titles&gt;&lt;title&gt;A proposal for validation of antibodies&lt;/title&gt;&lt;secondary-title&gt;Nature Methods&lt;/secondary-title&gt;&lt;/titles&gt;&lt;periodical&gt;&lt;full-title&gt;Nature Methods&lt;/full-title&gt;&lt;/periodical&gt;&lt;pages&gt;823&lt;/pages&gt;&lt;volume&gt;13&lt;/volume&gt;&lt;dates&gt;&lt;year&gt;2016&lt;/year&gt;&lt;pub-dates&gt;&lt;date&gt;09/05/online&lt;/date&gt;&lt;/pub-dates&gt;&lt;/dates&gt;&lt;publisher&gt;Nature Publishing Group, a division of Macmillan Publishers Limited. All Rights Reserved.&lt;/publisher&gt;&lt;urls&gt;&lt;related-urls&gt;&lt;url&gt;http://dx.doi.org/10.1038/nmeth.3995&lt;/url&gt;&lt;url&gt;http://www.nature.com/articles/nmeth.3995.pdf&lt;/url&gt;&lt;/related-urls&gt;&lt;/urls&gt;&lt;electronic-resource-num&gt;10.1038/nmeth.3995&amp;#xD;https://www.nature.com/articles/nmeth.3995#supplementary-information&lt;/electronic-resource-num&gt;&lt;/record&gt;&lt;/Cite&gt;&lt;/EndNote&gt;</w:instrText>
      </w:r>
      <w:r w:rsidR="00A51F85" w:rsidRPr="000A3805">
        <w:rPr>
          <w:sz w:val="22"/>
          <w:szCs w:val="22"/>
        </w:rPr>
        <w:fldChar w:fldCharType="separate"/>
      </w:r>
      <w:r w:rsidRPr="000A3805">
        <w:rPr>
          <w:noProof/>
          <w:sz w:val="22"/>
          <w:szCs w:val="22"/>
          <w:lang w:val="en-US"/>
        </w:rPr>
        <w:t>[4]</w:t>
      </w:r>
      <w:r w:rsidR="00A51F85" w:rsidRPr="000A3805">
        <w:rPr>
          <w:sz w:val="22"/>
          <w:szCs w:val="22"/>
        </w:rPr>
        <w:fldChar w:fldCharType="end"/>
      </w:r>
      <w:r w:rsidRPr="000A3805">
        <w:rPr>
          <w:sz w:val="22"/>
          <w:szCs w:val="22"/>
          <w:lang w:val="en-US"/>
        </w:rPr>
        <w:t xml:space="preserve">. This method should be used with caution since multiple suppliers sometimes sell the same antibody from the same original manufacturer under different names. Researchers then think they are using different antibodies while they are actually using the exact same one. It is therefore important to choose antibodies that bind to different epitopes of the target </w:t>
      </w:r>
      <w:r w:rsidR="00A51F85" w:rsidRPr="000A3805">
        <w:rPr>
          <w:sz w:val="22"/>
          <w:szCs w:val="22"/>
        </w:rPr>
        <w:fldChar w:fldCharType="begin"/>
      </w:r>
      <w:r w:rsidRPr="000A3805">
        <w:rPr>
          <w:sz w:val="22"/>
          <w:szCs w:val="22"/>
          <w:lang w:val="en-US"/>
        </w:rPr>
        <w:instrText xml:space="preserve"> ADDIN EN.CITE &lt;EndNote&gt;&lt;Cite&gt;&lt;Author&gt;Ivell&lt;/Author&gt;&lt;Year&gt;2014&lt;/Year&gt;&lt;RecNum&gt;191&lt;/RecNum&gt;&lt;DisplayText&gt;[5]&lt;/DisplayText&gt;&lt;record&gt;&lt;rec-number&gt;191&lt;/rec-number&gt;&lt;foreign-keys&gt;&lt;key app="EN" db-id="922z0aw9wfta05e2a0s5wzah2eawzfx92wzt" timestamp="1528882260"&gt;191&lt;/key&gt;&lt;key app="ENWeb" db-id=""&gt;0&lt;/key&gt;&lt;/foreign-keys&gt;&lt;ref-type name="Journal Article"&gt;17&lt;/ref-type&gt;&lt;contributors&gt;&lt;authors&gt;&lt;author&gt;Ivell, Richard&lt;/author&gt;&lt;author&gt;Teerds, Katja&lt;/author&gt;&lt;author&gt;Hoffman, Gloria E.&lt;/author&gt;&lt;/authors&gt;&lt;/contributors&gt;&lt;titles&gt;&lt;title&gt;Proper Application of Antibodies for Immunohistochemical Detection: Antibody Crimes and How to Prevent Them&lt;/title&gt;&lt;secondary-title&gt;Endocrinology&lt;/secondary-title&gt;&lt;/titles&gt;&lt;periodical&gt;&lt;full-title&gt;Endocrinology&lt;/full-title&gt;&lt;/periodical&gt;&lt;pages&gt;676-687&lt;/pages&gt;&lt;volume&gt;155&lt;/volume&gt;&lt;number&gt;3&lt;/number&gt;&lt;dates&gt;&lt;year&gt;2014&lt;/year&gt;&lt;/dates&gt;&lt;isbn&gt;0013-7227&lt;/isbn&gt;&lt;urls&gt;&lt;related-urls&gt;&lt;url&gt;http://dx.doi.org/10.1210/en.2013-1971&lt;/url&gt;&lt;url&gt;https://watermark.silverchair.com/endo0676.pdf?token=AQECAHi208BE49Ooan9kkhW_Ercy7Dm3ZL_9Cf3qfKAc485ysgAAAbYwggGyBgkqhkiG9w0BBwagggGjMIIBnwIBADCCAZgGCSqGSIb3DQEHATAeBglghkgBZQMEAS4wEQQMsxUSZippqtIkINWvAgEQgIIBaR6fJmDnLAYpkSksshXaK-PmAoclh-yVHFHcdEWrFMdrsB_CgeWZUOCUGblwI0qDnp5aZ6hN-ii1Spq4zO7sqMwvPfQYO5RkIPaqTxv2RfrWhlRrNuKpmLkcpBSKqx2m0ISzwdilWL1XiXYiliR1pw4Urs0NEwJXJROP92HECyClJWLCw-AZqRhzeSRU9yKVLtwIrF8dVa5gvqdhosYvsA3Q3V1pmHoijHLnMFx23icyWzfg16d-ginhjZmZpYg_ZqSpA8v2kwGRopedDKRgHVzLA0ZC6frATQnrn3YIofBCRYj3w52FWa0MzwCTitiozG7CLvF4O6TgMTpWweVRarO1KLx4cM-rdhYP5MRXvJNatWCxJPJwe3FjM-fXYExqXOV04OH9QZNlJfKXDhVUyyy8GXSbz5b8iXEL0kf2p9cwcTn5I88pa8N4f_kHriwaxGZQPx7ND9s_7qh7ILs4oFbknr628FWfOjU&lt;/url&gt;&lt;/related-urls&gt;&lt;/urls&gt;&lt;electronic-resource-num&gt;10.1210/en.2013-1971&lt;/electronic-resource-num&gt;&lt;/record&gt;&lt;/Cite&gt;&lt;/EndNote&gt;</w:instrText>
      </w:r>
      <w:r w:rsidR="00A51F85" w:rsidRPr="000A3805">
        <w:rPr>
          <w:sz w:val="22"/>
          <w:szCs w:val="22"/>
        </w:rPr>
        <w:fldChar w:fldCharType="separate"/>
      </w:r>
      <w:r w:rsidRPr="000A3805">
        <w:rPr>
          <w:noProof/>
          <w:sz w:val="22"/>
          <w:szCs w:val="22"/>
          <w:lang w:val="en-US"/>
        </w:rPr>
        <w:t>[5]</w:t>
      </w:r>
      <w:r w:rsidR="00A51F85" w:rsidRPr="000A3805">
        <w:rPr>
          <w:sz w:val="22"/>
          <w:szCs w:val="22"/>
        </w:rPr>
        <w:fldChar w:fldCharType="end"/>
      </w:r>
      <w:r w:rsidRPr="000A3805">
        <w:rPr>
          <w:sz w:val="22"/>
          <w:szCs w:val="22"/>
          <w:lang w:val="en-US"/>
        </w:rPr>
        <w:t xml:space="preserve">. This is also important to minimize the chances that all antibodies are binding to the same region of an non-target protein </w:t>
      </w:r>
      <w:r w:rsidR="00A51F85" w:rsidRPr="000A3805">
        <w:rPr>
          <w:sz w:val="22"/>
          <w:szCs w:val="22"/>
        </w:rPr>
        <w:fldChar w:fldCharType="begin"/>
      </w:r>
      <w:r w:rsidRPr="000A3805">
        <w:rPr>
          <w:sz w:val="22"/>
          <w:szCs w:val="22"/>
          <w:lang w:val="en-US"/>
        </w:rPr>
        <w:instrText xml:space="preserve"> ADDIN EN.CITE &lt;EndNote&gt;&lt;Cite&gt;&lt;Author&gt;Uhlen&lt;/Author&gt;&lt;Year&gt;2016&lt;/Year&gt;&lt;RecNum&gt;44&lt;/RecNum&gt;&lt;DisplayText&gt;[4]&lt;/DisplayText&gt;&lt;record&gt;&lt;rec-number&gt;44&lt;/rec-number&gt;&lt;foreign-keys&gt;&lt;key app="EN" db-id="922z0aw9wfta05e2a0s5wzah2eawzfx92wzt" timestamp="1519751481"&gt;44&lt;/key&gt;&lt;/foreign-keys&gt;&lt;ref-type name="Journal Article"&gt;17&lt;/ref-type&gt;&lt;contributors&gt;&lt;authors&gt;&lt;author&gt;Uhlen, Mathias&lt;/author&gt;&lt;author&gt;Bandrowski, Anita&lt;/author&gt;&lt;author&gt;Carr, Steven&lt;/author&gt;&lt;author&gt;Edwards, Aled&lt;/author&gt;&lt;author&gt;Ellenberg, Jan&lt;/author&gt;&lt;author&gt;Lundberg, Emma&lt;/author&gt;&lt;author&gt;Rimm, David L.&lt;/author&gt;&lt;author&gt;Rodriguez, Henry&lt;/author&gt;&lt;author&gt;Hiltke, Tara&lt;/author&gt;&lt;author&gt;Snyder, Michael&lt;/author&gt;&lt;author&gt;Yamamoto, Tadashi&lt;/author&gt;&lt;/authors&gt;&lt;/contributors&gt;&lt;titles&gt;&lt;title&gt;A proposal for validation of antibodies&lt;/title&gt;&lt;secondary-title&gt;Nature Methods&lt;/secondary-title&gt;&lt;/titles&gt;&lt;periodical&gt;&lt;full-title&gt;Nature Methods&lt;/full-title&gt;&lt;/periodical&gt;&lt;pages&gt;823&lt;/pages&gt;&lt;volume&gt;13&lt;/volume&gt;&lt;dates&gt;&lt;year&gt;2016&lt;/year&gt;&lt;pub-dates&gt;&lt;date&gt;09/05/online&lt;/date&gt;&lt;/pub-dates&gt;&lt;/dates&gt;&lt;publisher&gt;Nature Publishing Group, a division of Macmillan Publishers Limited. All Rights Reserved.&lt;/publisher&gt;&lt;urls&gt;&lt;related-urls&gt;&lt;url&gt;http://dx.doi.org/10.1038/nmeth.3995&lt;/url&gt;&lt;url&gt;http://www.nature.com/articles/nmeth.3995.pdf&lt;/url&gt;&lt;/related-urls&gt;&lt;/urls&gt;&lt;electronic-resource-num&gt;10.1038/nmeth.3995&amp;#xD;https://www.nature.com/articles/nmeth.3995#supplementary-information&lt;/electronic-resource-num&gt;&lt;/record&gt;&lt;/Cite&gt;&lt;/EndNote&gt;</w:instrText>
      </w:r>
      <w:r w:rsidR="00A51F85" w:rsidRPr="000A3805">
        <w:rPr>
          <w:sz w:val="22"/>
          <w:szCs w:val="22"/>
        </w:rPr>
        <w:fldChar w:fldCharType="separate"/>
      </w:r>
      <w:r w:rsidRPr="000A3805">
        <w:rPr>
          <w:noProof/>
          <w:sz w:val="22"/>
          <w:szCs w:val="22"/>
          <w:lang w:val="en-US"/>
        </w:rPr>
        <w:t>[4]</w:t>
      </w:r>
      <w:r w:rsidR="00A51F85" w:rsidRPr="000A3805">
        <w:rPr>
          <w:sz w:val="22"/>
          <w:szCs w:val="22"/>
        </w:rPr>
        <w:fldChar w:fldCharType="end"/>
      </w:r>
      <w:r w:rsidRPr="000A3805">
        <w:rPr>
          <w:sz w:val="22"/>
          <w:szCs w:val="22"/>
          <w:lang w:val="en-US"/>
        </w:rPr>
        <w:t xml:space="preserve">. </w:t>
      </w:r>
    </w:p>
    <w:p w:rsidR="005F4054" w:rsidRPr="000A3805" w:rsidRDefault="005F4054" w:rsidP="005F4054">
      <w:pPr>
        <w:pStyle w:val="Heading4"/>
        <w:spacing w:line="240" w:lineRule="auto"/>
        <w:jc w:val="both"/>
      </w:pPr>
      <w:r w:rsidRPr="000A3805">
        <w:t>Expression of tagged proteins</w:t>
      </w:r>
    </w:p>
    <w:p w:rsidR="005F4054" w:rsidRPr="000A3805" w:rsidRDefault="005F4054" w:rsidP="005F4054">
      <w:pPr>
        <w:jc w:val="both"/>
        <w:rPr>
          <w:sz w:val="22"/>
          <w:szCs w:val="22"/>
          <w:lang w:val="en-US"/>
        </w:rPr>
      </w:pPr>
      <w:r w:rsidRPr="000A3805">
        <w:rPr>
          <w:sz w:val="22"/>
          <w:szCs w:val="22"/>
          <w:lang w:val="en-US"/>
        </w:rPr>
        <w:t xml:space="preserve">The protein of interest is expressed with an affinity tag or a fluorescent protein attached to it. This allows for detection of the protein without the antibody of interest. This detection can then be compared with the detection of the protein with the antibody. If this pattern correlates strongly, the antibody is specific for that target protein. A drawback of this approach is that the attachment of such a tag could change protein activity </w:t>
      </w:r>
      <w:r w:rsidR="00A51F85" w:rsidRPr="000A3805">
        <w:rPr>
          <w:sz w:val="22"/>
          <w:szCs w:val="22"/>
        </w:rPr>
        <w:fldChar w:fldCharType="begin"/>
      </w:r>
      <w:r w:rsidRPr="000A3805">
        <w:rPr>
          <w:sz w:val="22"/>
          <w:szCs w:val="22"/>
          <w:lang w:val="en-US"/>
        </w:rPr>
        <w:instrText xml:space="preserve"> ADDIN EN.CITE &lt;EndNote&gt;&lt;Cite&gt;&lt;Author&gt;Uhlen&lt;/Author&gt;&lt;Year&gt;2016&lt;/Year&gt;&lt;RecNum&gt;44&lt;/RecNum&gt;&lt;DisplayText&gt;[4]&lt;/DisplayText&gt;&lt;record&gt;&lt;rec-number&gt;44&lt;/rec-number&gt;&lt;foreign-keys&gt;&lt;key app="EN" db-id="922z0aw9wfta05e2a0s5wzah2eawzfx92wzt" timestamp="1519751481"&gt;44&lt;/key&gt;&lt;/foreign-keys&gt;&lt;ref-type name="Journal Article"&gt;17&lt;/ref-type&gt;&lt;contributors&gt;&lt;authors&gt;&lt;author&gt;Uhlen, Mathias&lt;/author&gt;&lt;author&gt;Bandrowski, Anita&lt;/author&gt;&lt;author&gt;Carr, Steven&lt;/author&gt;&lt;author&gt;Edwards, Aled&lt;/author&gt;&lt;author&gt;Ellenberg, Jan&lt;/author&gt;&lt;author&gt;Lundberg, Emma&lt;/author&gt;&lt;author&gt;Rimm, David L.&lt;/author&gt;&lt;author&gt;Rodriguez, Henry&lt;/author&gt;&lt;author&gt;Hiltke, Tara&lt;/author&gt;&lt;author&gt;Snyder, Michael&lt;/author&gt;&lt;author&gt;Yamamoto, Tadashi&lt;/author&gt;&lt;/authors&gt;&lt;/contributors&gt;&lt;titles&gt;&lt;title&gt;A proposal for validation of antibodies&lt;/title&gt;&lt;secondary-title&gt;Nature Methods&lt;/secondary-title&gt;&lt;/titles&gt;&lt;periodical&gt;&lt;full-title&gt;Nature Methods&lt;/full-title&gt;&lt;/periodical&gt;&lt;pages&gt;823&lt;/pages&gt;&lt;volume&gt;13&lt;/volume&gt;&lt;dates&gt;&lt;year&gt;2016&lt;/year&gt;&lt;pub-dates&gt;&lt;date&gt;09/05/online&lt;/date&gt;&lt;/pub-dates&gt;&lt;/dates&gt;&lt;publisher&gt;Nature Publishing Group, a division of Macmillan Publishers Limited. All Rights Reserved.&lt;/publisher&gt;&lt;urls&gt;&lt;related-urls&gt;&lt;url&gt;http://dx.doi.org/10.1038/nmeth.3995&lt;/url&gt;&lt;url&gt;http://www.nature.com/articles/nmeth.3995.pdf&lt;/url&gt;&lt;/related-urls&gt;&lt;/urls&gt;&lt;electronic-resource-num&gt;10.1038/nmeth.3995&amp;#xD;https://www.nature.com/articles/nmeth.3995#supplementary-information&lt;/electronic-resource-num&gt;&lt;/record&gt;&lt;/Cite&gt;&lt;/EndNote&gt;</w:instrText>
      </w:r>
      <w:r w:rsidR="00A51F85" w:rsidRPr="000A3805">
        <w:rPr>
          <w:sz w:val="22"/>
          <w:szCs w:val="22"/>
        </w:rPr>
        <w:fldChar w:fldCharType="separate"/>
      </w:r>
      <w:r w:rsidRPr="000A3805">
        <w:rPr>
          <w:noProof/>
          <w:sz w:val="22"/>
          <w:szCs w:val="22"/>
          <w:lang w:val="en-US"/>
        </w:rPr>
        <w:t>[4]</w:t>
      </w:r>
      <w:r w:rsidR="00A51F85" w:rsidRPr="000A3805">
        <w:rPr>
          <w:sz w:val="22"/>
          <w:szCs w:val="22"/>
        </w:rPr>
        <w:fldChar w:fldCharType="end"/>
      </w:r>
      <w:r w:rsidRPr="000A3805">
        <w:rPr>
          <w:sz w:val="22"/>
          <w:szCs w:val="22"/>
          <w:lang w:val="en-US"/>
        </w:rPr>
        <w:t xml:space="preserve">. </w:t>
      </w:r>
    </w:p>
    <w:p w:rsidR="005F4054" w:rsidRPr="000A3805" w:rsidRDefault="005F4054" w:rsidP="005F4054">
      <w:pPr>
        <w:pStyle w:val="Heading4"/>
        <w:spacing w:line="240" w:lineRule="auto"/>
        <w:jc w:val="both"/>
      </w:pPr>
      <w:r w:rsidRPr="000A3805">
        <w:t>Immunocapture followed by mass spectrometry (MS)</w:t>
      </w:r>
    </w:p>
    <w:p w:rsidR="005F4054" w:rsidRPr="0052159F" w:rsidRDefault="005F4054" w:rsidP="005F4054">
      <w:pPr>
        <w:jc w:val="both"/>
        <w:rPr>
          <w:lang w:val="en-US"/>
        </w:rPr>
      </w:pPr>
      <w:r w:rsidRPr="000A3805">
        <w:rPr>
          <w:sz w:val="22"/>
          <w:szCs w:val="22"/>
          <w:lang w:val="en-US"/>
        </w:rPr>
        <w:t xml:space="preserve">Immunocapture captures the target protein from a solution by binding it to the antibody. The proteins that are isolated in this way can then be identified by MS analysis. In this way, all different proteins that bind to the antibody can be identified. An antibody is considered to be specific if the top three peptides that are identified are derived from the target protein. A drawback is that it is difficult to distinguish between proteins that interact with the antibody and proteins that interact with the target protein but not with the antibody </w:t>
      </w:r>
      <w:r w:rsidR="00A51F85" w:rsidRPr="000A3805">
        <w:rPr>
          <w:sz w:val="22"/>
          <w:szCs w:val="22"/>
        </w:rPr>
        <w:fldChar w:fldCharType="begin"/>
      </w:r>
      <w:r w:rsidRPr="000A3805">
        <w:rPr>
          <w:sz w:val="22"/>
          <w:szCs w:val="22"/>
          <w:lang w:val="en-US"/>
        </w:rPr>
        <w:instrText xml:space="preserve"> ADDIN EN.CITE &lt;EndNote&gt;&lt;Cite&gt;&lt;Author&gt;Uhlen&lt;/Author&gt;&lt;Year&gt;2016&lt;/Year&gt;&lt;RecNum&gt;44&lt;/RecNum&gt;&lt;DisplayText&gt;[4]&lt;/DisplayText&gt;&lt;record&gt;&lt;rec-number&gt;44&lt;/rec-number&gt;&lt;foreign-keys&gt;&lt;key app="EN" db-id="922z0aw9wfta05e2a0s5wzah2eawzfx92wzt" timestamp="1519751481"&gt;44&lt;/key&gt;&lt;/foreign-keys&gt;&lt;ref-type name="Journal Article"&gt;17&lt;/ref-type&gt;&lt;contributors&gt;&lt;authors&gt;&lt;author&gt;Uhlen, Mathias&lt;/author&gt;&lt;author&gt;Bandrowski, Anita&lt;/author&gt;&lt;author&gt;Carr, Steven&lt;/author&gt;&lt;author&gt;Edwards, Aled&lt;/author&gt;&lt;author&gt;Ellenberg, Jan&lt;/author&gt;&lt;author&gt;Lundberg, Emma&lt;/author&gt;&lt;author&gt;Rimm, David L.&lt;/author&gt;&lt;author&gt;Rodriguez, Henry&lt;/author&gt;&lt;author&gt;Hiltke, Tara&lt;/author&gt;&lt;author&gt;Snyder, Michael&lt;/author&gt;&lt;author&gt;Yamamoto, Tadashi&lt;/author&gt;&lt;/authors&gt;&lt;/contributors&gt;&lt;titles&gt;&lt;title&gt;A proposal for validation of antibodies&lt;/title&gt;&lt;secondary-title&gt;Nature Methods&lt;/secondary-title&gt;&lt;/titles&gt;&lt;periodical&gt;&lt;full-title&gt;Nature Methods&lt;/full-title&gt;&lt;/periodical&gt;&lt;pages&gt;823&lt;/pages&gt;&lt;volume&gt;13&lt;/volume&gt;&lt;dates&gt;&lt;year&gt;2016&lt;/year&gt;&lt;pub-dates&gt;&lt;date&gt;09/05/online&lt;/date&gt;&lt;/pub-dates&gt;&lt;/dates&gt;&lt;publisher&gt;Nature Publishing Group, a division of Macmillan Publishers Limited. All Rights Reserved.&lt;/publisher&gt;&lt;urls&gt;&lt;related-urls&gt;&lt;url&gt;http://dx.doi.org/10.1038/nmeth.3995&lt;/url&gt;&lt;url&gt;http://www.nature.com/articles/nmeth.3995.pdf&lt;/url&gt;&lt;/related-urls&gt;&lt;/urls&gt;&lt;electronic-resource-num&gt;10.1038/nmeth.3995&amp;#xD;https://www.nature.com/articles/nmeth.3995#supplementary-information&lt;/electronic-resource-num&gt;&lt;/record&gt;&lt;/Cite&gt;&lt;/EndNote&gt;</w:instrText>
      </w:r>
      <w:r w:rsidR="00A51F85" w:rsidRPr="000A3805">
        <w:rPr>
          <w:sz w:val="22"/>
          <w:szCs w:val="22"/>
        </w:rPr>
        <w:fldChar w:fldCharType="separate"/>
      </w:r>
      <w:r w:rsidRPr="000A3805">
        <w:rPr>
          <w:noProof/>
          <w:sz w:val="22"/>
          <w:szCs w:val="22"/>
          <w:lang w:val="en-US"/>
        </w:rPr>
        <w:t>[4]</w:t>
      </w:r>
      <w:r w:rsidR="00A51F85" w:rsidRPr="000A3805">
        <w:rPr>
          <w:sz w:val="22"/>
          <w:szCs w:val="22"/>
        </w:rPr>
        <w:fldChar w:fldCharType="end"/>
      </w:r>
      <w:r w:rsidRPr="0052159F">
        <w:rPr>
          <w:lang w:val="en-US"/>
        </w:rPr>
        <w:t>.</w:t>
      </w:r>
    </w:p>
    <w:p w:rsidR="005F4054" w:rsidRDefault="005F4054" w:rsidP="005F4054">
      <w:pPr>
        <w:pStyle w:val="Appendixstyle2"/>
        <w:spacing w:line="240" w:lineRule="auto"/>
      </w:pPr>
      <w:bookmarkStart w:id="24" w:name="_Toc531105194"/>
      <w:bookmarkStart w:id="25" w:name="_Toc531348895"/>
      <w:bookmarkStart w:id="26" w:name="_Toc532136273"/>
      <w:bookmarkStart w:id="27" w:name="_Toc532464326"/>
      <w:r>
        <w:t>Other methods of validation</w:t>
      </w:r>
      <w:bookmarkEnd w:id="24"/>
      <w:bookmarkEnd w:id="25"/>
      <w:bookmarkEnd w:id="26"/>
      <w:bookmarkEnd w:id="27"/>
    </w:p>
    <w:p w:rsidR="005F4054" w:rsidRPr="000E7547" w:rsidRDefault="005F4054" w:rsidP="005F4054">
      <w:pPr>
        <w:pStyle w:val="Heading4"/>
        <w:spacing w:line="240" w:lineRule="auto"/>
        <w:jc w:val="both"/>
      </w:pPr>
      <w:r w:rsidRPr="000E7547">
        <w:t>Protein/peptide array</w:t>
      </w:r>
    </w:p>
    <w:p w:rsidR="005F4054" w:rsidRDefault="005F4054" w:rsidP="005F4054">
      <w:pPr>
        <w:pStyle w:val="NoSpacing"/>
        <w:jc w:val="both"/>
      </w:pPr>
      <w:r>
        <w:t xml:space="preserve">A protein or peptide array can be used to determine the specific, versus cross-reactive, binding of an antibody </w:t>
      </w:r>
      <w:r w:rsidR="00A51F85">
        <w:fldChar w:fldCharType="begin"/>
      </w:r>
      <w:r>
        <w:instrText xml:space="preserve"> ADDIN EN.CITE &lt;EndNote&gt;&lt;Cite&gt;&lt;Author&gt;Uhlen&lt;/Author&gt;&lt;Year&gt;2016&lt;/Year&gt;&lt;RecNum&gt;44&lt;/RecNum&gt;&lt;DisplayText&gt;[4]&lt;/DisplayText&gt;&lt;record&gt;&lt;rec-number&gt;44&lt;/rec-number&gt;&lt;foreign-keys&gt;&lt;key app="EN" db-id="922z0aw9wfta05e2a0s5wzah2eawzfx92wzt" timestamp="1519751481"&gt;44&lt;/key&gt;&lt;/foreign-keys&gt;&lt;ref-type name="Journal Article"&gt;17&lt;/ref-type&gt;&lt;contributors&gt;&lt;authors&gt;&lt;author&gt;Uhlen, Mathias&lt;/author&gt;&lt;author&gt;Bandrowski, Anita&lt;/author&gt;&lt;author&gt;Carr, Steven&lt;/author&gt;&lt;author&gt;Edwards, Aled&lt;/author&gt;&lt;author&gt;Ellenberg, Jan&lt;/author&gt;&lt;author&gt;Lundberg, Emma&lt;/author&gt;&lt;author&gt;Rimm, David L.&lt;/author&gt;&lt;author&gt;Rodriguez, Henry&lt;/author&gt;&lt;author&gt;Hiltke, Tara&lt;/author&gt;&lt;author&gt;Snyder, Michael&lt;/author&gt;&lt;author&gt;Yamamoto, Tadashi&lt;/author&gt;&lt;/authors&gt;&lt;/contributors&gt;&lt;titles&gt;&lt;title&gt;A proposal for validation of antibodies&lt;/title&gt;&lt;secondary-title&gt;Nature Methods&lt;/secondary-title&gt;&lt;/titles&gt;&lt;periodical&gt;&lt;full-title&gt;Nature Methods&lt;/full-title&gt;&lt;/periodical&gt;&lt;pages&gt;823&lt;/pages&gt;&lt;volume&gt;13&lt;/volume&gt;&lt;dates&gt;&lt;year&gt;2016&lt;/year&gt;&lt;pub-dates&gt;&lt;date&gt;09/05/online&lt;/date&gt;&lt;/pub-dates&gt;&lt;/dates&gt;&lt;publisher&gt;Nature Publishing Group, a division of Macmillan Publishers Limited. All Rights Reserved.&lt;/publisher&gt;&lt;urls&gt;&lt;related-urls&gt;&lt;url&gt;http://dx.doi.org/10.1038/nmeth.3995&lt;/url&gt;&lt;url&gt;http://www.nature.com/articles/nmeth.3995.pdf&lt;/url&gt;&lt;/related-urls&gt;&lt;/urls&gt;&lt;electronic-resource-num&gt;10.1038/nmeth.3995&amp;#xD;https://www.nature.com/articles/nmeth.3995#supplementary-information&lt;/electronic-resource-num&gt;&lt;/record&gt;&lt;/Cite&gt;&lt;/EndNote&gt;</w:instrText>
      </w:r>
      <w:r w:rsidR="00A51F85">
        <w:fldChar w:fldCharType="separate"/>
      </w:r>
      <w:r>
        <w:rPr>
          <w:noProof/>
        </w:rPr>
        <w:t>[4]</w:t>
      </w:r>
      <w:r w:rsidR="00A51F85">
        <w:fldChar w:fldCharType="end"/>
      </w:r>
      <w:r>
        <w:t xml:space="preserve">. This array consists of many different peptides or proteins displayed on the surface of a chip. This chip can then be incubated with the antibody, after which the antigen-antibody binding can be visualized by a labeled secondary antibody. A drawback of this method is that it is not possible to determine with certainty that an antibody is not cross-reactive since not all proteins present in a biological sample will be represented on the protein array. </w:t>
      </w:r>
    </w:p>
    <w:p w:rsidR="005F4054" w:rsidRDefault="005F4054" w:rsidP="005F4054">
      <w:pPr>
        <w:pStyle w:val="Heading4"/>
        <w:spacing w:line="240" w:lineRule="auto"/>
        <w:jc w:val="both"/>
      </w:pPr>
      <w:r>
        <w:t>RNA-based methods:</w:t>
      </w:r>
    </w:p>
    <w:p w:rsidR="005F4054" w:rsidRDefault="005F4054" w:rsidP="005F4054">
      <w:pPr>
        <w:pStyle w:val="NoSpacing"/>
        <w:jc w:val="both"/>
        <w:rPr>
          <w:rStyle w:val="NoSpacingChar"/>
        </w:rPr>
      </w:pPr>
      <w:r>
        <w:t>There is a strong relationship between the mRNA levels expressed and the protein levels expressed in a cell. Comparing mRNA expression to protein expression can therefore be a method to confirm antibody s</w:t>
      </w:r>
      <w:r w:rsidRPr="00D213D4">
        <w:rPr>
          <w:rStyle w:val="NoSpacingChar"/>
        </w:rPr>
        <w:t>pecificity</w:t>
      </w:r>
      <w:r>
        <w:rPr>
          <w:rStyle w:val="NoSpacingChar"/>
        </w:rPr>
        <w:t xml:space="preserve">. </w:t>
      </w:r>
      <w:r>
        <w:t>RNA expression does not prove protein expression</w:t>
      </w:r>
      <w:r w:rsidR="00D03642">
        <w:t>, amongst others</w:t>
      </w:r>
      <w:r w:rsidR="002F608E">
        <w:t>,</w:t>
      </w:r>
      <w:r>
        <w:t xml:space="preserve"> </w:t>
      </w:r>
      <w:bookmarkStart w:id="28" w:name="_GoBack"/>
      <w:bookmarkEnd w:id="28"/>
      <w:r>
        <w:t xml:space="preserve">since proteins can also be transported to other sites away from the site where mRNA is expressed </w:t>
      </w:r>
      <w:r w:rsidR="00A51F85">
        <w:rPr>
          <w:rStyle w:val="NoSpacingChar"/>
        </w:rPr>
        <w:fldChar w:fldCharType="begin"/>
      </w:r>
      <w:r>
        <w:rPr>
          <w:rStyle w:val="NoSpacingChar"/>
        </w:rPr>
        <w:instrText xml:space="preserve"> ADDIN EN.CITE &lt;EndNote&gt;&lt;Cite&gt;&lt;Author&gt;O&amp;apos;hurley&lt;/Author&gt;&lt;Year&gt;2014&lt;/Year&gt;&lt;RecNum&gt;87&lt;/RecNum&gt;&lt;DisplayText&gt;[9]&lt;/DisplayText&gt;&lt;record&gt;&lt;rec-number&gt;87&lt;/rec-number&gt;&lt;foreign-keys&gt;&lt;key app="EN" db-id="922z0aw9wfta05e2a0s5wzah2eawzfx92wzt" timestamp="1520609814"&gt;87&lt;/key&gt;&lt;key app="ENWeb" db-id=""&gt;0&lt;/key&gt;&lt;/foreign-keys&gt;&lt;ref-type name="Journal Article"&gt;17&lt;/ref-type&gt;&lt;contributors&gt;&lt;authors&gt;&lt;author&gt;O&amp;apos;hurley, Gillian&lt;/author&gt;&lt;author&gt;Sjöstedt, Evelina&lt;/author&gt;&lt;author&gt;Rahman, Arman&lt;/author&gt;&lt;author&gt;Li, Bo&lt;/author&gt;&lt;author&gt;Kampf, Caroline&lt;/author&gt;&lt;author&gt;Pontén, Fredrik&lt;/author&gt;&lt;author&gt;Gallagher, William M&lt;/author&gt;&lt;author&gt;Lindskog, Cecilia&lt;/author&gt;&lt;/authors&gt;&lt;/contributors&gt;&lt;titles&gt;&lt;title&gt;Garbage in, garbage out: a critical evaluation of strategies used for validation of immunohistochemical biomarkers&lt;/title&gt;&lt;secondary-title&gt;Molecular oncology&lt;/secondary-title&gt;&lt;/titles&gt;&lt;periodical&gt;&lt;full-title&gt;Molecular oncology&lt;/full-title&gt;&lt;/periodical&gt;&lt;pages&gt;783-798&lt;/pages&gt;&lt;volume&gt;8&lt;/volume&gt;&lt;number&gt;4&lt;/number&gt;&lt;dates&gt;&lt;year&gt;2014&lt;/year&gt;&lt;/dates&gt;&lt;isbn&gt;1878-0261&lt;/isbn&gt;&lt;urls&gt;&lt;/urls&gt;&lt;/record&gt;&lt;/Cite&gt;&lt;/EndNote&gt;</w:instrText>
      </w:r>
      <w:r w:rsidR="00A51F85">
        <w:rPr>
          <w:rStyle w:val="NoSpacingChar"/>
        </w:rPr>
        <w:fldChar w:fldCharType="separate"/>
      </w:r>
      <w:r>
        <w:rPr>
          <w:rStyle w:val="NoSpacingChar"/>
          <w:noProof/>
        </w:rPr>
        <w:t>[9]</w:t>
      </w:r>
      <w:r w:rsidR="00A51F85">
        <w:rPr>
          <w:rStyle w:val="NoSpacingChar"/>
        </w:rPr>
        <w:fldChar w:fldCharType="end"/>
      </w:r>
      <w:r>
        <w:rPr>
          <w:rStyle w:val="NoSpacingChar"/>
        </w:rPr>
        <w:t>.</w:t>
      </w:r>
      <w:r>
        <w:t xml:space="preserve"> However, researchers can use the correlation as an easy method to check the specificity of the antibody. RNA levels that differ greatly from antibody-binding levels could be an early warning sign that something is wrong with the antibody binding </w:t>
      </w:r>
      <w:r w:rsidR="00A51F85">
        <w:fldChar w:fldCharType="begin"/>
      </w:r>
      <w:r>
        <w:instrText xml:space="preserve"> ADDIN EN.CITE &lt;EndNote&gt;&lt;Cite&gt;&lt;Author&gt;Dove&lt;/Author&gt;&lt;Year&gt;2017&lt;/Year&gt;&lt;RecNum&gt;32&lt;/RecNum&gt;&lt;DisplayText&gt;[15]&lt;/DisplayText&gt;&lt;record&gt;&lt;rec-number&gt;32&lt;/rec-number&gt;&lt;foreign-keys&gt;&lt;key app="EN" db-id="922z0aw9wfta05e2a0s5wzah2eawzfx92wzt" timestamp="1519233557"&gt;32&lt;/key&gt;&lt;/foreign-keys&gt;&lt;ref-type name="Journal Article"&gt;17&lt;/ref-type&gt;&lt;contributors&gt;&lt;authors&gt;&lt;author&gt;Dove, Alan&lt;/author&gt;&lt;/authors&gt;&lt;/contributors&gt;&lt;titles&gt;&lt;title&gt;Technology Feature| Agreeable antibodies: Antibody validation challenges and solutions&lt;/title&gt;&lt;secondary-title&gt;Science&lt;/secondary-title&gt;&lt;/titles&gt;&lt;periodical&gt;&lt;full-title&gt;Science&lt;/full-title&gt;&lt;/periodical&gt;&lt;pages&gt;1165-1167&lt;/pages&gt;&lt;volume&gt;357&lt;/volume&gt;&lt;number&gt;6356&lt;/number&gt;&lt;dates&gt;&lt;year&gt;2017&lt;/year&gt;&lt;/dates&gt;&lt;isbn&gt;0036-8075&lt;/isbn&gt;&lt;urls&gt;&lt;/urls&gt;&lt;/record&gt;&lt;/Cite&gt;&lt;/EndNote&gt;</w:instrText>
      </w:r>
      <w:r w:rsidR="00A51F85">
        <w:fldChar w:fldCharType="separate"/>
      </w:r>
      <w:r>
        <w:rPr>
          <w:noProof/>
        </w:rPr>
        <w:t>[15]</w:t>
      </w:r>
      <w:r w:rsidR="00A51F85">
        <w:fldChar w:fldCharType="end"/>
      </w:r>
      <w:r>
        <w:t xml:space="preserve">. </w:t>
      </w:r>
      <w:r>
        <w:rPr>
          <w:rStyle w:val="NoSpacingChar"/>
        </w:rPr>
        <w:t xml:space="preserve">Apart from the fact that there is sometimes no correlation between RNA and protein expression, another drawback of this method is that RNA expression cannot be used to determine the specificity of antibodies used against post-translationally modified proteins. </w:t>
      </w:r>
    </w:p>
    <w:p w:rsidR="005F4054" w:rsidRDefault="005F4054" w:rsidP="005F4054">
      <w:pPr>
        <w:pStyle w:val="NoSpacing"/>
        <w:jc w:val="both"/>
        <w:rPr>
          <w:rStyle w:val="NoSpacingChar"/>
        </w:rPr>
      </w:pPr>
    </w:p>
    <w:p w:rsidR="005F4054" w:rsidRDefault="005F4054" w:rsidP="005F4054">
      <w:pPr>
        <w:pStyle w:val="NoSpacing"/>
        <w:jc w:val="both"/>
        <w:rPr>
          <w:rStyle w:val="NoSpacingChar"/>
        </w:rPr>
      </w:pPr>
      <w:r>
        <w:rPr>
          <w:rStyle w:val="NoSpacingChar"/>
        </w:rPr>
        <w:t xml:space="preserve">Some RNA methods that can be used to determine antibody specificity: </w:t>
      </w:r>
    </w:p>
    <w:p w:rsidR="005F4054" w:rsidRDefault="005F4054" w:rsidP="005F4054">
      <w:pPr>
        <w:pStyle w:val="Heading4"/>
        <w:numPr>
          <w:ilvl w:val="0"/>
          <w:numId w:val="4"/>
        </w:numPr>
        <w:spacing w:line="240" w:lineRule="auto"/>
      </w:pPr>
      <w:r>
        <w:lastRenderedPageBreak/>
        <w:t>Single-cell RT-PCR/comparison of RNA-Seq data</w:t>
      </w:r>
    </w:p>
    <w:p w:rsidR="005F4054" w:rsidRPr="00D213D4" w:rsidRDefault="005F4054" w:rsidP="005F4054">
      <w:pPr>
        <w:pStyle w:val="NoSpacing"/>
        <w:ind w:left="360"/>
        <w:jc w:val="both"/>
      </w:pPr>
      <w:r>
        <w:rPr>
          <w:rStyle w:val="NoSpacingChar"/>
        </w:rPr>
        <w:t xml:space="preserve">Single-cell RT-PCR and comparison with online RNA sequencing data are quantitative methods used to determine if the protein expression levels match the mRNA expression levels </w:t>
      </w:r>
      <w:r w:rsidR="00A51F85">
        <w:rPr>
          <w:rStyle w:val="NoSpacingChar"/>
        </w:rPr>
        <w:fldChar w:fldCharType="begin"/>
      </w:r>
      <w:r>
        <w:rPr>
          <w:rStyle w:val="NoSpacingChar"/>
        </w:rPr>
        <w:instrText xml:space="preserve"> ADDIN EN.CITE &lt;EndNote&gt;&lt;Cite&gt;&lt;Author&gt;O&amp;apos;hurley&lt;/Author&gt;&lt;Year&gt;2014&lt;/Year&gt;&lt;RecNum&gt;87&lt;/RecNum&gt;&lt;DisplayText&gt;[9]&lt;/DisplayText&gt;&lt;record&gt;&lt;rec-number&gt;87&lt;/rec-number&gt;&lt;foreign-keys&gt;&lt;key app="EN" db-id="922z0aw9wfta05e2a0s5wzah2eawzfx92wzt" timestamp="1520609814"&gt;87&lt;/key&gt;&lt;key app="ENWeb" db-id=""&gt;0&lt;/key&gt;&lt;/foreign-keys&gt;&lt;ref-type name="Journal Article"&gt;17&lt;/ref-type&gt;&lt;contributors&gt;&lt;authors&gt;&lt;author&gt;O&amp;apos;hurley, Gillian&lt;/author&gt;&lt;author&gt;Sjöstedt, Evelina&lt;/author&gt;&lt;author&gt;Rahman, Arman&lt;/author&gt;&lt;author&gt;Li, Bo&lt;/author&gt;&lt;author&gt;Kampf, Caroline&lt;/author&gt;&lt;author&gt;Pontén, Fredrik&lt;/author&gt;&lt;author&gt;Gallagher, William M&lt;/author&gt;&lt;author&gt;Lindskog, Cecilia&lt;/author&gt;&lt;/authors&gt;&lt;/contributors&gt;&lt;titles&gt;&lt;title&gt;Garbage in, garbage out: a critical evaluation of strategies used for validation of immunohistochemical biomarkers&lt;/title&gt;&lt;secondary-title&gt;Molecular oncology&lt;/secondary-title&gt;&lt;/titles&gt;&lt;periodical&gt;&lt;full-title&gt;Molecular oncology&lt;/full-title&gt;&lt;/periodical&gt;&lt;pages&gt;783-798&lt;/pages&gt;&lt;volume&gt;8&lt;/volume&gt;&lt;number&gt;4&lt;/number&gt;&lt;dates&gt;&lt;year&gt;2014&lt;/year&gt;&lt;/dates&gt;&lt;isbn&gt;1878-0261&lt;/isbn&gt;&lt;urls&gt;&lt;/urls&gt;&lt;/record&gt;&lt;/Cite&gt;&lt;/EndNote&gt;</w:instrText>
      </w:r>
      <w:r w:rsidR="00A51F85">
        <w:rPr>
          <w:rStyle w:val="NoSpacingChar"/>
        </w:rPr>
        <w:fldChar w:fldCharType="separate"/>
      </w:r>
      <w:r>
        <w:rPr>
          <w:rStyle w:val="NoSpacingChar"/>
          <w:noProof/>
        </w:rPr>
        <w:t>[9]</w:t>
      </w:r>
      <w:r w:rsidR="00A51F85">
        <w:rPr>
          <w:rStyle w:val="NoSpacingChar"/>
        </w:rPr>
        <w:fldChar w:fldCharType="end"/>
      </w:r>
      <w:r>
        <w:rPr>
          <w:rStyle w:val="NoSpacingChar"/>
        </w:rPr>
        <w:t xml:space="preserve">. </w:t>
      </w:r>
    </w:p>
    <w:p w:rsidR="005F4054" w:rsidRPr="000A3805" w:rsidRDefault="005F4054" w:rsidP="005F4054">
      <w:pPr>
        <w:pStyle w:val="Heading4"/>
        <w:numPr>
          <w:ilvl w:val="0"/>
          <w:numId w:val="4"/>
        </w:numPr>
        <w:spacing w:line="240" w:lineRule="auto"/>
      </w:pPr>
      <w:r w:rsidRPr="000A3805">
        <w:t xml:space="preserve">In situ hybridization (ISH) </w:t>
      </w:r>
    </w:p>
    <w:p w:rsidR="005F4054" w:rsidRPr="000A3805" w:rsidRDefault="005F4054" w:rsidP="005F4054">
      <w:pPr>
        <w:ind w:left="360"/>
        <w:jc w:val="both"/>
        <w:rPr>
          <w:sz w:val="22"/>
          <w:szCs w:val="22"/>
          <w:lang w:val="en-US"/>
        </w:rPr>
      </w:pPr>
      <w:r w:rsidRPr="000A3805">
        <w:rPr>
          <w:sz w:val="22"/>
          <w:szCs w:val="22"/>
          <w:lang w:val="en-US"/>
        </w:rPr>
        <w:t xml:space="preserve">In situ hybridization is a qualitative method used to visualize RNA expression in cells or tissues. It uses labeled RNA probes to do this. It can be used to determine if the protein distribution matches that of the RNA in cells or tissue </w:t>
      </w:r>
      <w:r w:rsidR="00A51F85" w:rsidRPr="000A3805">
        <w:rPr>
          <w:rStyle w:val="NoSpacingChar"/>
        </w:rPr>
        <w:fldChar w:fldCharType="begin"/>
      </w:r>
      <w:r w:rsidRPr="000A3805">
        <w:rPr>
          <w:rStyle w:val="NoSpacingChar"/>
        </w:rPr>
        <w:instrText xml:space="preserve"> ADDIN EN.CITE &lt;EndNote&gt;&lt;Cite&gt;&lt;Author&gt;O&amp;apos;hurley&lt;/Author&gt;&lt;Year&gt;2014&lt;/Year&gt;&lt;RecNum&gt;87&lt;/RecNum&gt;&lt;DisplayText&gt;[9]&lt;/DisplayText&gt;&lt;record&gt;&lt;rec-number&gt;87&lt;/rec-number&gt;&lt;foreign-keys&gt;&lt;key app="EN" db-id="922z0aw9wfta05e2a0s5wzah2eawzfx92wzt" timestamp="1520609814"&gt;87&lt;/key&gt;&lt;key app="ENWeb" db-id=""&gt;0&lt;/key&gt;&lt;/foreign-keys&gt;&lt;ref-type name="Journal Article"&gt;17&lt;/ref-type&gt;&lt;contributors&gt;&lt;authors&gt;&lt;author&gt;O&amp;apos;hurley, Gillian&lt;/author&gt;&lt;author&gt;Sjöstedt, Evelina&lt;/author&gt;&lt;author&gt;Rahman, Arman&lt;/author&gt;&lt;author&gt;Li, Bo&lt;/author&gt;&lt;author&gt;Kampf, Caroline&lt;/author&gt;&lt;author&gt;Pontén, Fredrik&lt;/author&gt;&lt;author&gt;Gallagher, William M&lt;/author&gt;&lt;author&gt;Lindskog, Cecilia&lt;/author&gt;&lt;/authors&gt;&lt;/contributors&gt;&lt;titles&gt;&lt;title&gt;Garbage in, garbage out: a critical evaluation of strategies used for validation of immunohistochemical biomarkers&lt;/title&gt;&lt;secondary-title&gt;Molecular oncology&lt;/secondary-title&gt;&lt;/titles&gt;&lt;periodical&gt;&lt;full-title&gt;Molecular oncology&lt;/full-title&gt;&lt;/periodical&gt;&lt;pages&gt;783-798&lt;/pages&gt;&lt;volume&gt;8&lt;/volume&gt;&lt;number&gt;4&lt;/number&gt;&lt;dates&gt;&lt;year&gt;2014&lt;/year&gt;&lt;/dates&gt;&lt;isbn&gt;1878-0261&lt;/isbn&gt;&lt;urls&gt;&lt;/urls&gt;&lt;/record&gt;&lt;/Cite&gt;&lt;/EndNote&gt;</w:instrText>
      </w:r>
      <w:r w:rsidR="00A51F85" w:rsidRPr="000A3805">
        <w:rPr>
          <w:rStyle w:val="NoSpacingChar"/>
        </w:rPr>
        <w:fldChar w:fldCharType="separate"/>
      </w:r>
      <w:r w:rsidRPr="000A3805">
        <w:rPr>
          <w:rStyle w:val="NoSpacingChar"/>
          <w:noProof/>
        </w:rPr>
        <w:t>[9]</w:t>
      </w:r>
      <w:r w:rsidR="00A51F85" w:rsidRPr="000A3805">
        <w:rPr>
          <w:rStyle w:val="NoSpacingChar"/>
        </w:rPr>
        <w:fldChar w:fldCharType="end"/>
      </w:r>
      <w:r w:rsidRPr="000A3805">
        <w:rPr>
          <w:rStyle w:val="NoSpacingChar"/>
        </w:rPr>
        <w:t xml:space="preserve">. </w:t>
      </w:r>
      <w:r w:rsidRPr="000A3805">
        <w:rPr>
          <w:sz w:val="22"/>
          <w:szCs w:val="22"/>
          <w:lang w:val="en-US"/>
        </w:rPr>
        <w:t>If the IHC staining pattern matches that of in situ hybridization (ISH) of mRNA of the same protein, the antibody is likely specific for that protein.</w:t>
      </w:r>
    </w:p>
    <w:p w:rsidR="005F4054" w:rsidRPr="000A3805" w:rsidRDefault="005F4054" w:rsidP="005F4054">
      <w:pPr>
        <w:pStyle w:val="Heading4"/>
        <w:spacing w:line="240" w:lineRule="auto"/>
        <w:jc w:val="both"/>
      </w:pPr>
      <w:r w:rsidRPr="000A3805">
        <w:t>Tissue microarray (TMA)</w:t>
      </w:r>
    </w:p>
    <w:p w:rsidR="005F4054" w:rsidRPr="000A3805" w:rsidRDefault="005F4054" w:rsidP="005F4054">
      <w:pPr>
        <w:jc w:val="both"/>
        <w:rPr>
          <w:sz w:val="22"/>
          <w:szCs w:val="22"/>
          <w:lang w:val="en-US"/>
        </w:rPr>
      </w:pPr>
      <w:r w:rsidRPr="000A3805">
        <w:rPr>
          <w:sz w:val="22"/>
          <w:szCs w:val="22"/>
          <w:lang w:val="en-US"/>
        </w:rPr>
        <w:t xml:space="preserve">Tissue microarrays contain up to 1,000 different tissue sample pellets on a single microscope slide, so that they can be evaluated simultaneously </w:t>
      </w:r>
      <w:r w:rsidR="00A51F85" w:rsidRPr="000A3805">
        <w:rPr>
          <w:sz w:val="22"/>
          <w:szCs w:val="22"/>
        </w:rPr>
        <w:fldChar w:fldCharType="begin"/>
      </w:r>
      <w:r w:rsidRPr="000A3805">
        <w:rPr>
          <w:sz w:val="22"/>
          <w:szCs w:val="22"/>
          <w:lang w:val="en-US"/>
        </w:rPr>
        <w:instrText xml:space="preserve"> ADDIN EN.CITE &lt;EndNote&gt;&lt;Cite&gt;&lt;Author&gt;Ramos-Vara&lt;/Author&gt;&lt;Year&gt;2014&lt;/Year&gt;&lt;RecNum&gt;85&lt;/RecNum&gt;&lt;DisplayText&gt;[16]&lt;/DisplayText&gt;&lt;record&gt;&lt;rec-number&gt;85&lt;/rec-number&gt;&lt;foreign-keys&gt;&lt;key app="EN" db-id="922z0aw9wfta05e2a0s5wzah2eawzfx92wzt" timestamp="1520609742"&gt;85&lt;/key&gt;&lt;key app="ENWeb" db-id=""&gt;0&lt;/key&gt;&lt;/foreign-keys&gt;&lt;ref-type name="Journal Article"&gt;17&lt;/ref-type&gt;&lt;contributors&gt;&lt;authors&gt;&lt;author&gt;Ramos-Vara, JA&lt;/author&gt;&lt;author&gt;Miller, MA&lt;/author&gt;&lt;/authors&gt;&lt;/contributors&gt;&lt;titles&gt;&lt;title&gt;When tissue antigens and antibodies get along: revisiting the technical aspects of immunohistochemistry—the red, brown, and blue technique&lt;/title&gt;&lt;secondary-title&gt;Veterinary pathology&lt;/secondary-title&gt;&lt;/titles&gt;&lt;periodical&gt;&lt;full-title&gt;Veterinary pathology&lt;/full-title&gt;&lt;/periodical&gt;&lt;pages&gt;42-87&lt;/pages&gt;&lt;volume&gt;51&lt;/volume&gt;&lt;number&gt;1&lt;/number&gt;&lt;dates&gt;&lt;year&gt;2014&lt;/year&gt;&lt;/dates&gt;&lt;isbn&gt;0300-9858&lt;/isbn&gt;&lt;urls&gt;&lt;/urls&gt;&lt;/record&gt;&lt;/Cite&gt;&lt;/EndNote&gt;</w:instrText>
      </w:r>
      <w:r w:rsidR="00A51F85" w:rsidRPr="000A3805">
        <w:rPr>
          <w:sz w:val="22"/>
          <w:szCs w:val="22"/>
        </w:rPr>
        <w:fldChar w:fldCharType="separate"/>
      </w:r>
      <w:r w:rsidRPr="000A3805">
        <w:rPr>
          <w:noProof/>
          <w:sz w:val="22"/>
          <w:szCs w:val="22"/>
          <w:lang w:val="en-US"/>
        </w:rPr>
        <w:t>[16]</w:t>
      </w:r>
      <w:r w:rsidR="00A51F85" w:rsidRPr="000A3805">
        <w:rPr>
          <w:sz w:val="22"/>
          <w:szCs w:val="22"/>
        </w:rPr>
        <w:fldChar w:fldCharType="end"/>
      </w:r>
      <w:r w:rsidRPr="000A3805">
        <w:rPr>
          <w:sz w:val="22"/>
          <w:szCs w:val="22"/>
          <w:lang w:val="en-US"/>
        </w:rPr>
        <w:t xml:space="preserve">. TMAs can be used to evaluate antibody binding across a multitude of samples that differ in the expression of the target protein </w:t>
      </w:r>
      <w:r w:rsidR="00A51F85" w:rsidRPr="000A3805">
        <w:rPr>
          <w:sz w:val="22"/>
          <w:szCs w:val="22"/>
        </w:rPr>
        <w:fldChar w:fldCharType="begin"/>
      </w:r>
      <w:r w:rsidRPr="000A3805">
        <w:rPr>
          <w:sz w:val="22"/>
          <w:szCs w:val="22"/>
          <w:lang w:val="en-US"/>
        </w:rPr>
        <w:instrText xml:space="preserve"> ADDIN EN.CITE &lt;EndNote&gt;&lt;Cite&gt;&lt;Author&gt;GBSI&lt;/Author&gt;&lt;Year&gt;2016&lt;/Year&gt;&lt;RecNum&gt;172&lt;/RecNum&gt;&lt;DisplayText&gt;[8]&lt;/DisplayText&gt;&lt;record&gt;&lt;rec-number&gt;172&lt;/rec-number&gt;&lt;foreign-keys&gt;&lt;key app="EN" db-id="922z0aw9wfta05e2a0s5wzah2eawzfx92wzt" timestamp="1526300324"&gt;172&lt;/key&gt;&lt;key app="ENWeb" db-id=""&gt;0&lt;/key&gt;&lt;/foreign-keys&gt;&lt;ref-type name="Report"&gt;27&lt;/ref-type&gt;&lt;contributors&gt;&lt;authors&gt;&lt;author&gt;GBSI&lt;/author&gt;&lt;/authors&gt;&lt;/contributors&gt;&lt;titles&gt;&lt;title&gt;Drivers for Adoption: Ensuring Acceptance and Compliance by the Research Community&lt;/title&gt;&lt;/titles&gt;&lt;dates&gt;&lt;year&gt;2016&lt;/year&gt;&lt;/dates&gt;&lt;publisher&gt;Global Biological Standards Institute&lt;/publisher&gt;&lt;urls&gt;&lt;related-urls&gt;&lt;url&gt;http://www.gbsi.org/wp-content/uploads/2017/11/Driving-Adoption.pdf&lt;/url&gt;&lt;/related-urls&gt;&lt;/urls&gt;&lt;/record&gt;&lt;/Cite&gt;&lt;/EndNote&gt;</w:instrText>
      </w:r>
      <w:r w:rsidR="00A51F85" w:rsidRPr="000A3805">
        <w:rPr>
          <w:sz w:val="22"/>
          <w:szCs w:val="22"/>
        </w:rPr>
        <w:fldChar w:fldCharType="separate"/>
      </w:r>
      <w:r w:rsidRPr="000A3805">
        <w:rPr>
          <w:noProof/>
          <w:sz w:val="22"/>
          <w:szCs w:val="22"/>
          <w:lang w:val="en-US"/>
        </w:rPr>
        <w:t>[8]</w:t>
      </w:r>
      <w:r w:rsidR="00A51F85" w:rsidRPr="000A3805">
        <w:rPr>
          <w:sz w:val="22"/>
          <w:szCs w:val="22"/>
        </w:rPr>
        <w:fldChar w:fldCharType="end"/>
      </w:r>
      <w:r w:rsidRPr="000A3805">
        <w:rPr>
          <w:sz w:val="22"/>
          <w:szCs w:val="22"/>
          <w:lang w:val="en-US"/>
        </w:rPr>
        <w:t xml:space="preserve">. A good antibody will only stain the pellets that contain the target, the staining will decrease with decreasing antibody dilutions and the staining will be similar to staining reported in the literature </w:t>
      </w:r>
      <w:r w:rsidR="00A51F85" w:rsidRPr="000A3805">
        <w:rPr>
          <w:sz w:val="22"/>
          <w:szCs w:val="22"/>
        </w:rPr>
        <w:fldChar w:fldCharType="begin"/>
      </w:r>
      <w:r w:rsidRPr="000A3805">
        <w:rPr>
          <w:sz w:val="22"/>
          <w:szCs w:val="22"/>
          <w:lang w:val="en-US"/>
        </w:rPr>
        <w:instrText xml:space="preserve"> ADDIN EN.CITE &lt;EndNote&gt;&lt;Cite&gt;&lt;Author&gt;Bordeaux&lt;/Author&gt;&lt;Year&gt;2010&lt;/Year&gt;&lt;RecNum&gt;1&lt;/RecNum&gt;&lt;DisplayText&gt;[3]&lt;/DisplayText&gt;&lt;record&gt;&lt;rec-number&gt;1&lt;/rec-number&gt;&lt;foreign-keys&gt;&lt;key app="EN" db-id="922z0aw9wfta05e2a0s5wzah2eawzfx92wzt" timestamp="1518271404"&gt;1&lt;/key&gt;&lt;/foreign-keys&gt;&lt;ref-type name="Journal Article"&gt;17&lt;/ref-type&gt;&lt;contributors&gt;&lt;authors&gt;&lt;author&gt;Bordeaux, Jennifer&lt;/author&gt;&lt;author&gt;Welsh, Allison W&lt;/author&gt;&lt;author&gt;Agarwal, Seema&lt;/author&gt;&lt;author&gt;Killiam, Elizabeth&lt;/author&gt;&lt;author&gt;Baquero, Maria T&lt;/author&gt;&lt;author&gt;Hanna, Jason A&lt;/author&gt;&lt;author&gt;Anagnostou, Valsamo K&lt;/author&gt;&lt;author&gt;Rimm, David L&lt;/author&gt;&lt;/authors&gt;&lt;/contributors&gt;&lt;titles&gt;&lt;title&gt;Antibody validation&lt;/title&gt;&lt;secondary-title&gt;Biotechniques&lt;/secondary-title&gt;&lt;/titles&gt;&lt;periodical&gt;&lt;full-title&gt;Biotechniques&lt;/full-title&gt;&lt;/periodical&gt;&lt;pages&gt;197&lt;/pages&gt;&lt;volume&gt;48&lt;/volume&gt;&lt;number&gt;3&lt;/number&gt;&lt;dates&gt;&lt;year&gt;2010&lt;/year&gt;&lt;/dates&gt;&lt;urls&gt;&lt;related-urls&gt;&lt;url&gt;https://www.ncbi.nlm.nih.gov/pmc/articles/PMC3891910/pdf/nihms540371.pdf&lt;/url&gt;&lt;/related-urls&gt;&lt;/urls&gt;&lt;/record&gt;&lt;/Cite&gt;&lt;/EndNote&gt;</w:instrText>
      </w:r>
      <w:r w:rsidR="00A51F85" w:rsidRPr="000A3805">
        <w:rPr>
          <w:sz w:val="22"/>
          <w:szCs w:val="22"/>
        </w:rPr>
        <w:fldChar w:fldCharType="separate"/>
      </w:r>
      <w:r w:rsidRPr="000A3805">
        <w:rPr>
          <w:noProof/>
          <w:sz w:val="22"/>
          <w:szCs w:val="22"/>
          <w:lang w:val="en-US"/>
        </w:rPr>
        <w:t>[3]</w:t>
      </w:r>
      <w:r w:rsidR="00A51F85" w:rsidRPr="000A3805">
        <w:rPr>
          <w:sz w:val="22"/>
          <w:szCs w:val="22"/>
        </w:rPr>
        <w:fldChar w:fldCharType="end"/>
      </w:r>
      <w:r w:rsidRPr="000A3805">
        <w:rPr>
          <w:sz w:val="22"/>
          <w:szCs w:val="22"/>
          <w:lang w:val="en-US"/>
        </w:rPr>
        <w:t xml:space="preserve">. A side note to this method could be that it might be better to carefully select a positive and negative control sample with and without the target protein instead of using 1,000 random tissue samples that have not been selected specifically as controls for the target. </w:t>
      </w:r>
    </w:p>
    <w:p w:rsidR="005F4054" w:rsidRPr="000A3805" w:rsidRDefault="005F4054" w:rsidP="005F4054">
      <w:pPr>
        <w:pStyle w:val="Heading4"/>
        <w:spacing w:line="240" w:lineRule="auto"/>
        <w:jc w:val="both"/>
      </w:pPr>
      <w:r w:rsidRPr="000A3805">
        <w:t>Epitope mapping</w:t>
      </w:r>
    </w:p>
    <w:p w:rsidR="005F4054" w:rsidRPr="000A3805" w:rsidRDefault="005F4054" w:rsidP="005F4054">
      <w:pPr>
        <w:jc w:val="both"/>
        <w:rPr>
          <w:sz w:val="22"/>
          <w:szCs w:val="22"/>
          <w:lang w:val="en-US"/>
        </w:rPr>
      </w:pPr>
      <w:r w:rsidRPr="000A3805">
        <w:rPr>
          <w:sz w:val="22"/>
          <w:szCs w:val="22"/>
          <w:lang w:val="en-US"/>
        </w:rPr>
        <w:t xml:space="preserve">Epitope mapping can consist of several methods, such as peptide arrays and alanine-scanning, which are used to determine the specific epitope an antibody binds to </w:t>
      </w:r>
      <w:r w:rsidR="00A51F85" w:rsidRPr="000A3805">
        <w:rPr>
          <w:sz w:val="22"/>
          <w:szCs w:val="22"/>
        </w:rPr>
        <w:fldChar w:fldCharType="begin"/>
      </w:r>
      <w:r w:rsidRPr="000A3805">
        <w:rPr>
          <w:sz w:val="22"/>
          <w:szCs w:val="22"/>
          <w:lang w:val="en-US"/>
        </w:rPr>
        <w:instrText xml:space="preserve"> ADDIN EN.CITE &lt;EndNote&gt;&lt;Cite&gt;&lt;Author&gt;Uhlen&lt;/Author&gt;&lt;Year&gt;2016&lt;/Year&gt;&lt;RecNum&gt;44&lt;/RecNum&gt;&lt;DisplayText&gt;[4]&lt;/DisplayText&gt;&lt;record&gt;&lt;rec-number&gt;44&lt;/rec-number&gt;&lt;foreign-keys&gt;&lt;key app="EN" db-id="922z0aw9wfta05e2a0s5wzah2eawzfx92wzt" timestamp="1519751481"&gt;44&lt;/key&gt;&lt;/foreign-keys&gt;&lt;ref-type name="Journal Article"&gt;17&lt;/ref-type&gt;&lt;contributors&gt;&lt;authors&gt;&lt;author&gt;Uhlen, Mathias&lt;/author&gt;&lt;author&gt;Bandrowski, Anita&lt;/author&gt;&lt;author&gt;Carr, Steven&lt;/author&gt;&lt;author&gt;Edwards, Aled&lt;/author&gt;&lt;author&gt;Ellenberg, Jan&lt;/author&gt;&lt;author&gt;Lundberg, Emma&lt;/author&gt;&lt;author&gt;Rimm, David L.&lt;/author&gt;&lt;author&gt;Rodriguez, Henry&lt;/author&gt;&lt;author&gt;Hiltke, Tara&lt;/author&gt;&lt;author&gt;Snyder, Michael&lt;/author&gt;&lt;author&gt;Yamamoto, Tadashi&lt;/author&gt;&lt;/authors&gt;&lt;/contributors&gt;&lt;titles&gt;&lt;title&gt;A proposal for validation of antibodies&lt;/title&gt;&lt;secondary-title&gt;Nature Methods&lt;/secondary-title&gt;&lt;/titles&gt;&lt;periodical&gt;&lt;full-title&gt;Nature Methods&lt;/full-title&gt;&lt;/periodical&gt;&lt;pages&gt;823&lt;/pages&gt;&lt;volume&gt;13&lt;/volume&gt;&lt;dates&gt;&lt;year&gt;2016&lt;/year&gt;&lt;pub-dates&gt;&lt;date&gt;09/05/online&lt;/date&gt;&lt;/pub-dates&gt;&lt;/dates&gt;&lt;publisher&gt;Nature Publishing Group, a division of Macmillan Publishers Limited. All Rights Reserved.&lt;/publisher&gt;&lt;urls&gt;&lt;related-urls&gt;&lt;url&gt;http://dx.doi.org/10.1038/nmeth.3995&lt;/url&gt;&lt;url&gt;http://www.nature.com/articles/nmeth.3995.pdf&lt;/url&gt;&lt;/related-urls&gt;&lt;/urls&gt;&lt;electronic-resource-num&gt;10.1038/nmeth.3995&amp;#xD;https://www.nature.com/articles/nmeth.3995#supplementary-information&lt;/electronic-resource-num&gt;&lt;/record&gt;&lt;/Cite&gt;&lt;/EndNote&gt;</w:instrText>
      </w:r>
      <w:r w:rsidR="00A51F85" w:rsidRPr="000A3805">
        <w:rPr>
          <w:sz w:val="22"/>
          <w:szCs w:val="22"/>
        </w:rPr>
        <w:fldChar w:fldCharType="separate"/>
      </w:r>
      <w:r w:rsidRPr="000A3805">
        <w:rPr>
          <w:noProof/>
          <w:sz w:val="22"/>
          <w:szCs w:val="22"/>
          <w:lang w:val="en-US"/>
        </w:rPr>
        <w:t>[4]</w:t>
      </w:r>
      <w:r w:rsidR="00A51F85" w:rsidRPr="000A3805">
        <w:rPr>
          <w:sz w:val="22"/>
          <w:szCs w:val="22"/>
        </w:rPr>
        <w:fldChar w:fldCharType="end"/>
      </w:r>
      <w:r w:rsidRPr="000A3805">
        <w:rPr>
          <w:sz w:val="22"/>
          <w:szCs w:val="22"/>
          <w:lang w:val="en-US"/>
        </w:rPr>
        <w:t xml:space="preserve">. </w:t>
      </w:r>
    </w:p>
    <w:p w:rsidR="005F4054" w:rsidRPr="000A3805" w:rsidRDefault="005F4054" w:rsidP="005F4054">
      <w:pPr>
        <w:pStyle w:val="Heading4"/>
        <w:spacing w:line="240" w:lineRule="auto"/>
        <w:jc w:val="both"/>
      </w:pPr>
      <w:r w:rsidRPr="000A3805">
        <w:t>Affinity measurements</w:t>
      </w:r>
    </w:p>
    <w:p w:rsidR="005F4054" w:rsidRPr="000A3805" w:rsidRDefault="005F4054" w:rsidP="005F4054">
      <w:pPr>
        <w:jc w:val="both"/>
        <w:rPr>
          <w:sz w:val="22"/>
          <w:szCs w:val="22"/>
          <w:lang w:val="en-US"/>
        </w:rPr>
      </w:pPr>
      <w:r w:rsidRPr="000A3805">
        <w:rPr>
          <w:sz w:val="22"/>
          <w:szCs w:val="22"/>
          <w:lang w:val="en-US"/>
        </w:rPr>
        <w:t xml:space="preserve">The binding affinity of an antibody to its antigen can be measured. A surface plasmon resonance immunoassay could be a method to determine the binding parameters of the antibody to its antigen </w:t>
      </w:r>
      <w:r w:rsidR="00A51F85" w:rsidRPr="000A3805">
        <w:rPr>
          <w:sz w:val="22"/>
          <w:szCs w:val="22"/>
        </w:rPr>
        <w:fldChar w:fldCharType="begin"/>
      </w:r>
      <w:r w:rsidRPr="000A3805">
        <w:rPr>
          <w:sz w:val="22"/>
          <w:szCs w:val="22"/>
          <w:lang w:val="en-US"/>
        </w:rPr>
        <w:instrText xml:space="preserve"> ADDIN EN.CITE &lt;EndNote&gt;&lt;Cite&gt;&lt;Author&gt;Uhlen&lt;/Author&gt;&lt;Year&gt;2016&lt;/Year&gt;&lt;RecNum&gt;44&lt;/RecNum&gt;&lt;DisplayText&gt;[4]&lt;/DisplayText&gt;&lt;record&gt;&lt;rec-number&gt;44&lt;/rec-number&gt;&lt;foreign-keys&gt;&lt;key app="EN" db-id="922z0aw9wfta05e2a0s5wzah2eawzfx92wzt" timestamp="1519751481"&gt;44&lt;/key&gt;&lt;/foreign-keys&gt;&lt;ref-type name="Journal Article"&gt;17&lt;/ref-type&gt;&lt;contributors&gt;&lt;authors&gt;&lt;author&gt;Uhlen, Mathias&lt;/author&gt;&lt;author&gt;Bandrowski, Anita&lt;/author&gt;&lt;author&gt;Carr, Steven&lt;/author&gt;&lt;author&gt;Edwards, Aled&lt;/author&gt;&lt;author&gt;Ellenberg, Jan&lt;/author&gt;&lt;author&gt;Lundberg, Emma&lt;/author&gt;&lt;author&gt;Rimm, David L.&lt;/author&gt;&lt;author&gt;Rodriguez, Henry&lt;/author&gt;&lt;author&gt;Hiltke, Tara&lt;/author&gt;&lt;author&gt;Snyder, Michael&lt;/author&gt;&lt;author&gt;Yamamoto, Tadashi&lt;/author&gt;&lt;/authors&gt;&lt;/contributors&gt;&lt;titles&gt;&lt;title&gt;A proposal for validation of antibodies&lt;/title&gt;&lt;secondary-title&gt;Nature Methods&lt;/secondary-title&gt;&lt;/titles&gt;&lt;periodical&gt;&lt;full-title&gt;Nature Methods&lt;/full-title&gt;&lt;/periodical&gt;&lt;pages&gt;823&lt;/pages&gt;&lt;volume&gt;13&lt;/volume&gt;&lt;dates&gt;&lt;year&gt;2016&lt;/year&gt;&lt;pub-dates&gt;&lt;date&gt;09/05/online&lt;/date&gt;&lt;/pub-dates&gt;&lt;/dates&gt;&lt;publisher&gt;Nature Publishing Group, a division of Macmillan Publishers Limited. All Rights Reserved.&lt;/publisher&gt;&lt;urls&gt;&lt;related-urls&gt;&lt;url&gt;http://dx.doi.org/10.1038/nmeth.3995&lt;/url&gt;&lt;url&gt;http://www.nature.com/articles/nmeth.3995.pdf&lt;/url&gt;&lt;/related-urls&gt;&lt;/urls&gt;&lt;electronic-resource-num&gt;10.1038/nmeth.3995&amp;#xD;https://www.nature.com/articles/nmeth.3995#supplementary-information&lt;/electronic-resource-num&gt;&lt;/record&gt;&lt;/Cite&gt;&lt;/EndNote&gt;</w:instrText>
      </w:r>
      <w:r w:rsidR="00A51F85" w:rsidRPr="000A3805">
        <w:rPr>
          <w:sz w:val="22"/>
          <w:szCs w:val="22"/>
        </w:rPr>
        <w:fldChar w:fldCharType="separate"/>
      </w:r>
      <w:r w:rsidRPr="000A3805">
        <w:rPr>
          <w:noProof/>
          <w:sz w:val="22"/>
          <w:szCs w:val="22"/>
          <w:lang w:val="en-US"/>
        </w:rPr>
        <w:t>[4]</w:t>
      </w:r>
      <w:r w:rsidR="00A51F85" w:rsidRPr="000A3805">
        <w:rPr>
          <w:sz w:val="22"/>
          <w:szCs w:val="22"/>
        </w:rPr>
        <w:fldChar w:fldCharType="end"/>
      </w:r>
      <w:r w:rsidRPr="000A3805">
        <w:rPr>
          <w:sz w:val="22"/>
          <w:szCs w:val="22"/>
          <w:lang w:val="en-US"/>
        </w:rPr>
        <w:t>.</w:t>
      </w:r>
    </w:p>
    <w:p w:rsidR="005F4054" w:rsidRPr="000A3805" w:rsidRDefault="005F4054" w:rsidP="005F4054">
      <w:pPr>
        <w:jc w:val="both"/>
        <w:rPr>
          <w:sz w:val="22"/>
          <w:szCs w:val="22"/>
          <w:lang w:val="en-US"/>
        </w:rPr>
      </w:pPr>
    </w:p>
    <w:p w:rsidR="005F4054" w:rsidRPr="000A3805" w:rsidRDefault="005F4054">
      <w:pPr>
        <w:rPr>
          <w:rFonts w:asciiTheme="majorHAnsi" w:eastAsiaTheme="majorEastAsia" w:hAnsiTheme="majorHAnsi" w:cstheme="majorBidi"/>
          <w:b/>
          <w:bCs/>
          <w:sz w:val="22"/>
          <w:szCs w:val="22"/>
          <w:lang w:val="en-US"/>
        </w:rPr>
      </w:pPr>
      <w:r w:rsidRPr="000A3805">
        <w:rPr>
          <w:sz w:val="22"/>
          <w:szCs w:val="22"/>
          <w:lang w:val="en-US"/>
        </w:rPr>
        <w:br w:type="page"/>
      </w:r>
    </w:p>
    <w:p w:rsidR="0052159F" w:rsidRDefault="005467AE" w:rsidP="0052159F">
      <w:pPr>
        <w:pStyle w:val="Heading1"/>
        <w:numPr>
          <w:ilvl w:val="0"/>
          <w:numId w:val="0"/>
        </w:numPr>
        <w:ind w:left="432" w:hanging="432"/>
      </w:pPr>
      <w:r>
        <w:lastRenderedPageBreak/>
        <w:t xml:space="preserve">4 - </w:t>
      </w:r>
      <w:r w:rsidR="0052159F">
        <w:t>Coding examples</w:t>
      </w:r>
      <w:bookmarkEnd w:id="10"/>
    </w:p>
    <w:p w:rsidR="0052159F" w:rsidRPr="0052159F" w:rsidRDefault="0052159F" w:rsidP="0052159F">
      <w:pPr>
        <w:rPr>
          <w:lang w:val="en-US"/>
        </w:rPr>
      </w:pPr>
    </w:p>
    <w:tbl>
      <w:tblPr>
        <w:tblStyle w:val="TableGrid"/>
        <w:tblpPr w:leftFromText="180" w:rightFromText="180" w:vertAnchor="text" w:tblpY="1"/>
        <w:tblOverlap w:val="never"/>
        <w:tblW w:w="9345" w:type="dxa"/>
        <w:tblLook w:val="04A0" w:firstRow="1" w:lastRow="0" w:firstColumn="1" w:lastColumn="0" w:noHBand="0" w:noVBand="1"/>
      </w:tblPr>
      <w:tblGrid>
        <w:gridCol w:w="9345"/>
      </w:tblGrid>
      <w:tr w:rsidR="000C7F50" w:rsidRPr="002F608E" w:rsidTr="00BF63A5">
        <w:trPr>
          <w:trHeight w:val="543"/>
        </w:trPr>
        <w:tc>
          <w:tcPr>
            <w:tcW w:w="9345" w:type="dxa"/>
            <w:shd w:val="clear" w:color="auto" w:fill="auto"/>
          </w:tcPr>
          <w:p w:rsidR="000C7F50" w:rsidRPr="00DE7A10" w:rsidRDefault="000C7F50" w:rsidP="00BF63A5">
            <w:pPr>
              <w:pStyle w:val="Heading3"/>
              <w:numPr>
                <w:ilvl w:val="0"/>
                <w:numId w:val="0"/>
              </w:numPr>
              <w:ind w:left="720" w:hanging="720"/>
              <w:outlineLvl w:val="2"/>
            </w:pPr>
            <w:bookmarkStart w:id="29" w:name="_Ref531181316"/>
            <w:bookmarkStart w:id="30" w:name="_Toc532464310"/>
            <w:r w:rsidRPr="008143BA">
              <w:t>Box 1. Examples of va</w:t>
            </w:r>
            <w:r>
              <w:t>lidation with genetic strategies and how they were coded</w:t>
            </w:r>
            <w:bookmarkEnd w:id="29"/>
            <w:bookmarkEnd w:id="30"/>
          </w:p>
        </w:tc>
      </w:tr>
      <w:tr w:rsidR="000C7F50" w:rsidRPr="002F608E" w:rsidTr="00BF63A5">
        <w:trPr>
          <w:trHeight w:val="5519"/>
        </w:trPr>
        <w:tc>
          <w:tcPr>
            <w:tcW w:w="9345" w:type="dxa"/>
            <w:shd w:val="clear" w:color="auto" w:fill="auto"/>
          </w:tcPr>
          <w:p w:rsidR="000C7F50" w:rsidRPr="00E3591C" w:rsidRDefault="000C7F50" w:rsidP="000C7F50">
            <w:pPr>
              <w:pStyle w:val="Heading4"/>
              <w:spacing w:line="240" w:lineRule="auto"/>
              <w:outlineLvl w:val="3"/>
            </w:pPr>
            <w:bookmarkStart w:id="31" w:name="_Ref530661078"/>
            <w:r w:rsidRPr="00DE7A10">
              <w:t>Tags</w:t>
            </w:r>
            <w:bookmarkEnd w:id="31"/>
          </w:p>
          <w:p w:rsidR="000C7F50" w:rsidRDefault="000C7F50" w:rsidP="00BF63A5">
            <w:pPr>
              <w:keepNext/>
              <w:jc w:val="both"/>
            </w:pPr>
            <w:r>
              <w:t xml:space="preserve">Recombinant proteins, engineered to express small peptide tags, can be introduced into cells where they are not naturally occurring, for instance by using an expression vector that introduces the DNA of the recombinant protein into the cell. This can be done for many different reasons, such as to detect or isolate a target protein in the cell. The HA-tag, Myc-tag, FLAG-tag or GFP-tag are frequently used in combination with antibodies against these tags to detect a protein of interest. When these tags are used, often samples with and without these tags are stained with the anti-tag antibody, which means that these antibodies are validated by genetic strategies according to our validation criteria. This means that these antibodies were not validated with the purpose to validate them but as a consequence of the experimental procedures that were used. Anti-HA, anti-Myc, anti-FLAG or anti-GFP was used in 37, and marked as validated in 25, of the 120 articles in the sample. </w:t>
            </w:r>
          </w:p>
          <w:p w:rsidR="000C7F50" w:rsidRDefault="000C7F50" w:rsidP="00BF63A5">
            <w:pPr>
              <w:keepNext/>
              <w:jc w:val="both"/>
            </w:pPr>
          </w:p>
          <w:p w:rsidR="000C7F50" w:rsidRPr="00EC7538" w:rsidRDefault="000C7F50" w:rsidP="00BF63A5">
            <w:pPr>
              <w:keepNext/>
              <w:jc w:val="both"/>
            </w:pPr>
            <w:r w:rsidRPr="00D65360">
              <w:rPr>
                <w:noProof/>
                <w:lang w:eastAsia="nl-NL"/>
              </w:rPr>
              <w:drawing>
                <wp:anchor distT="0" distB="0" distL="114300" distR="114300" simplePos="0" relativeHeight="251659264" behindDoc="0" locked="0" layoutInCell="1" allowOverlap="1">
                  <wp:simplePos x="0" y="0"/>
                  <wp:positionH relativeFrom="margin">
                    <wp:posOffset>4095750</wp:posOffset>
                  </wp:positionH>
                  <wp:positionV relativeFrom="margin">
                    <wp:posOffset>2281445</wp:posOffset>
                  </wp:positionV>
                  <wp:extent cx="1501140" cy="690245"/>
                  <wp:effectExtent l="19050" t="19050" r="22860" b="146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140" cy="690245"/>
                          </a:xfrm>
                          <a:prstGeom prst="rect">
                            <a:avLst/>
                          </a:prstGeom>
                          <a:noFill/>
                          <a:ln>
                            <a:solidFill>
                              <a:schemeClr val="tx1"/>
                            </a:solidFill>
                          </a:ln>
                        </pic:spPr>
                      </pic:pic>
                    </a:graphicData>
                  </a:graphic>
                </wp:anchor>
              </w:drawing>
            </w:r>
            <w:r w:rsidR="002F608E">
              <w:rPr>
                <w:noProof/>
                <w:lang w:eastAsia="nl-NL"/>
              </w:rPr>
              <w:pict>
                <v:shapetype id="_x0000_t202" coordsize="21600,21600" o:spt="202" path="m,l,21600r21600,l21600,xe">
                  <v:stroke joinstyle="miter"/>
                  <v:path gradientshapeok="t" o:connecttype="rect"/>
                </v:shapetype>
                <v:shape id="Text Box 9" o:spid="_x0000_s1026" type="#_x0000_t202" style="position:absolute;left:0;text-align:left;margin-left:320.6pt;margin-top:72.75pt;width:118.2pt;height:12.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stroked="f">
                  <v:textbox inset="0,0,0,0">
                    <w:txbxContent>
                      <w:p w:rsidR="00D03642" w:rsidRPr="00EC7538" w:rsidRDefault="00D03642" w:rsidP="000C7F50">
                        <w:pPr>
                          <w:pStyle w:val="Caption"/>
                          <w:jc w:val="center"/>
                          <w:rPr>
                            <w:sz w:val="24"/>
                            <w:szCs w:val="24"/>
                          </w:rPr>
                        </w:pPr>
                        <w:r>
                          <w:t xml:space="preserve">Figure from </w:t>
                        </w:r>
                        <w:r>
                          <w:fldChar w:fldCharType="begin"/>
                        </w:r>
                        <w:r>
                          <w:instrText xml:space="preserve"> ADDIN EN.CITE &lt;EndNote&gt;&lt;Cite&gt;&lt;Author&gt;Seoane&lt;/Author&gt;&lt;Year&gt;2002&lt;/Year&gt;&lt;RecNum&gt;210&lt;/RecNum&gt;&lt;DisplayText&gt;[1]&lt;/DisplayText&gt;&lt;record&gt;&lt;rec-number&gt;210&lt;/rec-number&gt;&lt;foreign-keys&gt;&lt;key app="EN" db-id="922z0aw9wfta05e2a0s5wzah2eawzfx92wzt" timestamp="1544647512"&gt;210&lt;/key&gt;&lt;/foreign-keys&gt;&lt;ref-type name="Journal Article"&gt;17&lt;/ref-type&gt;&lt;contributors&gt;&lt;authors&gt;&lt;author&gt;Seoane, Joan&lt;/author&gt;&lt;author&gt;Le, Hong-Van&lt;/author&gt;&lt;author&gt;Massagué, Joan&lt;/author&gt;&lt;/authors&gt;&lt;/contributors&gt;&lt;titles&gt;&lt;title&gt;Myc suppression of the p21Cip1 Cdk inhibitor influences the outcome of the p53 response to DNA damage&lt;/title&gt;&lt;secondary-title&gt;Nature&lt;/secondary-title&gt;&lt;/titles&gt;&lt;periodical&gt;&lt;full-title&gt;Nature&lt;/full-title&gt;&lt;/periodical&gt;&lt;pages&gt;729&lt;/pages&gt;&lt;volume&gt;419&lt;/volume&gt;&lt;dates&gt;&lt;year&gt;2002&lt;/year&gt;&lt;pub-dates&gt;&lt;date&gt;10/02/online&lt;/date&gt;&lt;/pub-dates&gt;&lt;/dates&gt;&lt;publisher&gt;Macmillan Magazines Ltd.&lt;/publisher&gt;&lt;urls&gt;&lt;related-urls&gt;&lt;url&gt;https://doi.org/10.1038/nature01119&lt;/url&gt;&lt;/related-urls&gt;&lt;/urls&gt;&lt;electronic-resource-num&gt;10.1038/nature01119&amp;#xD;https://www.nature.com/articles/nature01119#supplementary-information&lt;/electronic-resource-num&gt;&lt;/record&gt;&lt;/Cite&gt;&lt;/EndNote&gt;</w:instrText>
                        </w:r>
                        <w:r>
                          <w:fldChar w:fldCharType="separate"/>
                        </w:r>
                        <w:r>
                          <w:rPr>
                            <w:noProof/>
                          </w:rPr>
                          <w:t>[1]</w:t>
                        </w:r>
                        <w:r>
                          <w:fldChar w:fldCharType="end"/>
                        </w:r>
                      </w:p>
                    </w:txbxContent>
                  </v:textbox>
                  <w10:wrap type="square"/>
                </v:shape>
              </w:pict>
            </w:r>
            <w:r>
              <w:t xml:space="preserve">An example from one of the articles in the sample is the detection of the Myc tag with the anti-Myc antibody. </w:t>
            </w:r>
            <w:r w:rsidRPr="008143BA">
              <w:t>Cells transduced with a Myc-containing vector show staining with anti-Myc, while untreated cells do not show any staining</w:t>
            </w:r>
            <w:r>
              <w:t xml:space="preserve"> </w:t>
            </w:r>
            <w:r w:rsidR="00A51F85">
              <w:fldChar w:fldCharType="begin"/>
            </w:r>
            <w:r w:rsidR="005F4054">
              <w:instrText xml:space="preserve"> ADDIN EN.CITE &lt;EndNote&gt;&lt;Cite&gt;&lt;Author&gt;Seoane&lt;/Author&gt;&lt;Year&gt;2002&lt;/Year&gt;&lt;RecNum&gt;210&lt;/RecNum&gt;&lt;DisplayText&gt;[1]&lt;/DisplayText&gt;&lt;record&gt;&lt;rec-number&gt;210&lt;/rec-number&gt;&lt;foreign-keys&gt;&lt;key app="EN" db-id="922z0aw9wfta05e2a0s5wzah2eawzfx92wzt" timestamp="1544647512"&gt;210&lt;/key&gt;&lt;/foreign-keys&gt;&lt;ref-type name="Journal Article"&gt;17&lt;/ref-type&gt;&lt;contributors&gt;&lt;authors&gt;&lt;author&gt;Seoane, Joan&lt;/author&gt;&lt;author&gt;Le, Hong-Van&lt;/author&gt;&lt;author&gt;Massagué, Joan&lt;/author&gt;&lt;/authors&gt;&lt;/contributors&gt;&lt;titles&gt;&lt;title&gt;Myc suppression of the p21Cip1 Cdk inhibitor influences the outcome of the p53 response to DNA damage&lt;/title&gt;&lt;secondary-title&gt;Nature&lt;/secondary-title&gt;&lt;/titles&gt;&lt;periodical&gt;&lt;full-title&gt;Nature&lt;/full-title&gt;&lt;/periodical&gt;&lt;pages&gt;729&lt;/pages&gt;&lt;volume&gt;419&lt;/volume&gt;&lt;dates&gt;&lt;year&gt;2002&lt;/year&gt;&lt;pub-dates&gt;&lt;date&gt;10/02/online&lt;/date&gt;&lt;/pub-dates&gt;&lt;/dates&gt;&lt;publisher&gt;Macmillan Magazines Ltd.&lt;/publisher&gt;&lt;urls&gt;&lt;related-urls&gt;&lt;url&gt;https://doi.org/10.1038/nature01119&lt;/url&gt;&lt;/related-urls&gt;&lt;/urls&gt;&lt;electronic-resource-num&gt;10.1038/nature01119&amp;#xD;https://www.nature.com/articles/nature01119#supplementary-information&lt;/electronic-resource-num&gt;&lt;/record&gt;&lt;/Cite&gt;&lt;/EndNote&gt;</w:instrText>
            </w:r>
            <w:r w:rsidR="00A51F85">
              <w:fldChar w:fldCharType="separate"/>
            </w:r>
            <w:r>
              <w:rPr>
                <w:noProof/>
              </w:rPr>
              <w:t>[1]</w:t>
            </w:r>
            <w:r w:rsidR="00A51F85">
              <w:fldChar w:fldCharType="end"/>
            </w:r>
            <w:r w:rsidRPr="008143BA">
              <w:t xml:space="preserve">. The anti-Myc antibody is now validated with a positive control (cells in which Myc was introduced) and negative control (untreated cells in which Myc is not present). </w:t>
            </w:r>
            <w:r>
              <w:t xml:space="preserve">Furthermore, this type of validation fits into the category of validation with genetic strategies of the five pillars of validation.   </w:t>
            </w:r>
          </w:p>
          <w:p w:rsidR="000C7F50" w:rsidRPr="008143BA" w:rsidRDefault="000C7F50" w:rsidP="00BF63A5"/>
        </w:tc>
      </w:tr>
      <w:tr w:rsidR="000C7F50" w:rsidRPr="002F608E" w:rsidTr="00BF63A5">
        <w:trPr>
          <w:trHeight w:val="2155"/>
        </w:trPr>
        <w:tc>
          <w:tcPr>
            <w:tcW w:w="9345" w:type="dxa"/>
            <w:shd w:val="clear" w:color="auto" w:fill="auto"/>
          </w:tcPr>
          <w:p w:rsidR="000C7F50" w:rsidRDefault="002F608E" w:rsidP="000C7F50">
            <w:pPr>
              <w:pStyle w:val="Heading4"/>
              <w:spacing w:line="240" w:lineRule="auto"/>
              <w:outlineLvl w:val="3"/>
            </w:pPr>
            <w:r>
              <w:rPr>
                <w:noProof/>
                <w:lang w:val="nl-NL" w:eastAsia="nl-NL"/>
              </w:rPr>
              <w:pict>
                <v:shape id="Text Box 11" o:spid="_x0000_s1027" type="#_x0000_t202" style="position:absolute;left:0;text-align:left;margin-left:321.7pt;margin-top:83.7pt;width:119.05pt;height:1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" stroked="f">
                  <v:textbox inset="0,0,0,0">
                    <w:txbxContent>
                      <w:p w:rsidR="00D03642" w:rsidRPr="004937F6" w:rsidRDefault="00D03642" w:rsidP="000C7F50">
                        <w:pPr>
                          <w:pStyle w:val="Caption"/>
                          <w:jc w:val="center"/>
                          <w:rPr>
                            <w:noProof/>
                            <w:sz w:val="22"/>
                            <w:szCs w:val="22"/>
                          </w:rPr>
                        </w:pPr>
                        <w:r>
                          <w:t xml:space="preserve">Figure from </w:t>
                        </w:r>
                        <w:r>
                          <w:fldChar w:fldCharType="begin"/>
                        </w:r>
                        <w:r>
                          <w:instrText xml:space="preserve"> ADDIN EN.CITE &lt;EndNote&gt;&lt;Cite&gt;&lt;Author&gt;Seoane&lt;/Author&gt;&lt;Year&gt;2002&lt;/Year&gt;&lt;RecNum&gt;210&lt;/RecNum&gt;&lt;DisplayText&gt;[1]&lt;/DisplayText&gt;&lt;record&gt;&lt;rec-number&gt;210&lt;/rec-number&gt;&lt;foreign-keys&gt;&lt;key app="EN" db-id="922z0aw9wfta05e2a0s5wzah2eawzfx92wzt" timestamp="1544647512"&gt;210&lt;/key&gt;&lt;/foreign-keys&gt;&lt;ref-type name="Journal Article"&gt;17&lt;/ref-type&gt;&lt;contributors&gt;&lt;authors&gt;&lt;author&gt;Seoane, Joan&lt;/author&gt;&lt;author&gt;Le, Hong-Van&lt;/author&gt;&lt;author&gt;Massagué, Joan&lt;/author&gt;&lt;/authors&gt;&lt;/contributors&gt;&lt;titles&gt;&lt;title&gt;Myc suppression of the p21Cip1 Cdk inhibitor influences the outcome of the p53 response to DNA damage&lt;/title&gt;&lt;secondary-title&gt;Nature&lt;/secondary-title&gt;&lt;/titles&gt;&lt;periodical&gt;&lt;full-title&gt;Nature&lt;/full-title&gt;&lt;/periodical&gt;&lt;pages&gt;729&lt;/pages&gt;&lt;volume&gt;419&lt;/volume&gt;&lt;dates&gt;&lt;year&gt;2002&lt;/year&gt;&lt;pub-dates&gt;&lt;date&gt;10/02/online&lt;/date&gt;&lt;/pub-dates&gt;&lt;/dates&gt;&lt;publisher&gt;Macmillan Magazines Ltd.&lt;/publisher&gt;&lt;urls&gt;&lt;related-urls&gt;&lt;url&gt;https://doi.org/10.1038/nature01119&lt;/url&gt;&lt;/related-urls&gt;&lt;/urls&gt;&lt;electronic-resource-num&gt;10.1038/nature01119&amp;#xD;https://www.nature.com/articles/nature01119#supplementary-information&lt;/electronic-resource-num&gt;&lt;/record&gt;&lt;/Cite&gt;&lt;/EndNote&gt;</w:instrText>
                        </w:r>
                        <w:r>
                          <w:fldChar w:fldCharType="separate"/>
                        </w:r>
                        <w:r>
                          <w:rPr>
                            <w:noProof/>
                          </w:rPr>
                          <w:t>[1]</w:t>
                        </w:r>
                        <w:r>
                          <w:fldChar w:fldCharType="end"/>
                        </w:r>
                      </w:p>
                    </w:txbxContent>
                  </v:textbox>
                  <w10:wrap type="square"/>
                </v:shape>
              </w:pict>
            </w:r>
            <w:r w:rsidR="000C7F50" w:rsidRPr="00EC7538">
              <w:rPr>
                <w:noProof/>
                <w:lang w:val="nl-NL" w:eastAsia="nl-NL"/>
              </w:rPr>
              <w:drawing>
                <wp:anchor distT="0" distB="0" distL="114300" distR="114300" simplePos="0" relativeHeight="251660288" behindDoc="0" locked="0" layoutInCell="1" allowOverlap="1">
                  <wp:simplePos x="0" y="0"/>
                  <wp:positionH relativeFrom="margin">
                    <wp:posOffset>4074795</wp:posOffset>
                  </wp:positionH>
                  <wp:positionV relativeFrom="margin">
                    <wp:posOffset>220345</wp:posOffset>
                  </wp:positionV>
                  <wp:extent cx="1511935" cy="732790"/>
                  <wp:effectExtent l="19050" t="19050" r="12065" b="1016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Myc example from 74- 10.1038.nature01119.jpg"/>
                          <pic:cNvPicPr/>
                        </pic:nvPicPr>
                        <pic:blipFill rotWithShape="1">
                          <a:blip r:embed="rId9" cstate="print">
                            <a:extLst>
                              <a:ext uri="{28A0092B-C50C-407E-A947-70E740481C1C}">
                                <a14:useLocalDpi xmlns:a14="http://schemas.microsoft.com/office/drawing/2010/main" val="0"/>
                              </a:ext>
                            </a:extLst>
                          </a:blip>
                          <a:srcRect l="62022" r="1635" b="89339"/>
                          <a:stretch/>
                        </pic:blipFill>
                        <pic:spPr bwMode="auto">
                          <a:xfrm>
                            <a:off x="0" y="0"/>
                            <a:ext cx="1511935" cy="73279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0C7F50">
              <w:t>Other examples - Knockout</w:t>
            </w:r>
          </w:p>
          <w:p w:rsidR="000C7F50" w:rsidRPr="0046556B" w:rsidRDefault="000C7F50" w:rsidP="00BF63A5">
            <w:pPr>
              <w:jc w:val="both"/>
            </w:pPr>
            <w:r>
              <w:t>p53</w:t>
            </w:r>
            <w:r>
              <w:rPr>
                <w:vertAlign w:val="superscript"/>
              </w:rPr>
              <w:t>-/-</w:t>
            </w:r>
            <w:r>
              <w:t xml:space="preserve"> cells show no staining with an antibody against tumor suppressor protein p53, while p53</w:t>
            </w:r>
            <w:r>
              <w:rPr>
                <w:vertAlign w:val="superscript"/>
              </w:rPr>
              <w:t>+/+</w:t>
            </w:r>
            <w:r>
              <w:t xml:space="preserve"> cells do. This shows that the antibody specifically stains samples in which p53 is present </w:t>
            </w:r>
            <w:r w:rsidR="00A51F85">
              <w:fldChar w:fldCharType="begin"/>
            </w:r>
            <w:r w:rsidR="005F4054">
              <w:instrText xml:space="preserve"> ADDIN EN.CITE &lt;EndNote&gt;&lt;Cite&gt;&lt;Author&gt;Seoane&lt;/Author&gt;&lt;Year&gt;2002&lt;/Year&gt;&lt;RecNum&gt;210&lt;/RecNum&gt;&lt;DisplayText&gt;[1]&lt;/DisplayText&gt;&lt;record&gt;&lt;rec-number&gt;210&lt;/rec-number&gt;&lt;foreign-keys&gt;&lt;key app="EN" db-id="922z0aw9wfta05e2a0s5wzah2eawzfx92wzt" timestamp="1544647512"&gt;210&lt;/key&gt;&lt;/foreign-keys&gt;&lt;ref-type name="Journal Article"&gt;17&lt;/ref-type&gt;&lt;contributors&gt;&lt;authors&gt;&lt;author&gt;Seoane, Joan&lt;/author&gt;&lt;author&gt;Le, Hong-Van&lt;/author&gt;&lt;author&gt;Massagué, Joan&lt;/author&gt;&lt;/authors&gt;&lt;/contributors&gt;&lt;titles&gt;&lt;title&gt;Myc suppression of the p21Cip1 Cdk inhibitor influences the outcome of the p53 response to DNA damage&lt;/title&gt;&lt;secondary-title&gt;Nature&lt;/secondary-title&gt;&lt;/titles&gt;&lt;periodical&gt;&lt;full-title&gt;Nature&lt;/full-title&gt;&lt;/periodical&gt;&lt;pages&gt;729&lt;/pages&gt;&lt;volume&gt;419&lt;/volume&gt;&lt;dates&gt;&lt;year&gt;2002&lt;/year&gt;&lt;pub-dates&gt;&lt;date&gt;10/02/online&lt;/date&gt;&lt;/pub-dates&gt;&lt;/dates&gt;&lt;publisher&gt;Macmillan Magazines Ltd.&lt;/publisher&gt;&lt;urls&gt;&lt;related-urls&gt;&lt;url&gt;https://doi.org/10.1038/nature01119&lt;/url&gt;&lt;/related-urls&gt;&lt;/urls&gt;&lt;electronic-resource-num&gt;10.1038/nature01119&amp;#xD;https://www.nature.com/articles/nature01119#supplementary-information&lt;/electronic-resource-num&gt;&lt;/record&gt;&lt;/Cite&gt;&lt;/EndNote&gt;</w:instrText>
            </w:r>
            <w:r w:rsidR="00A51F85">
              <w:fldChar w:fldCharType="separate"/>
            </w:r>
            <w:r>
              <w:rPr>
                <w:noProof/>
              </w:rPr>
              <w:t>[1]</w:t>
            </w:r>
            <w:r w:rsidR="00A51F85">
              <w:fldChar w:fldCharType="end"/>
            </w:r>
            <w:r>
              <w:t xml:space="preserve">. This type of validation was marked as validation by negative control (knockout) and by genetic strategies of the five pillars.  </w:t>
            </w:r>
          </w:p>
        </w:tc>
      </w:tr>
      <w:tr w:rsidR="000C7F50" w:rsidRPr="002F608E" w:rsidTr="00BF63A5">
        <w:trPr>
          <w:trHeight w:val="2038"/>
        </w:trPr>
        <w:tc>
          <w:tcPr>
            <w:tcW w:w="9345" w:type="dxa"/>
            <w:shd w:val="clear" w:color="auto" w:fill="auto"/>
          </w:tcPr>
          <w:p w:rsidR="000C7F50" w:rsidRDefault="000C7F50" w:rsidP="000C7F50">
            <w:pPr>
              <w:pStyle w:val="Heading4"/>
              <w:spacing w:line="240" w:lineRule="auto"/>
              <w:outlineLvl w:val="3"/>
              <w:rPr>
                <w:noProof/>
              </w:rPr>
            </w:pPr>
            <w:r>
              <w:rPr>
                <w:noProof/>
              </w:rPr>
              <w:t>Other examples - RNA interference</w:t>
            </w:r>
          </w:p>
          <w:p w:rsidR="000C7F50" w:rsidRPr="0022423D" w:rsidRDefault="002F608E" w:rsidP="00BF63A5">
            <w:pPr>
              <w:jc w:val="both"/>
            </w:pPr>
            <w:r>
              <w:rPr>
                <w:noProof/>
                <w:lang w:eastAsia="nl-NL"/>
              </w:rPr>
              <w:pict>
                <v:shape id="Text Box 12" o:spid="_x0000_s1028" type="#_x0000_t202" style="position:absolute;left:0;text-align:left;margin-left:320.35pt;margin-top:55.55pt;width:120.55pt;height:13.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" stroked="f">
                  <v:textbox inset="0,0,0,0">
                    <w:txbxContent>
                      <w:p w:rsidR="00D03642" w:rsidRPr="007530A4" w:rsidRDefault="00D03642" w:rsidP="000C7F50">
                        <w:pPr>
                          <w:pStyle w:val="Caption"/>
                          <w:jc w:val="center"/>
                          <w:rPr>
                            <w:noProof/>
                          </w:rPr>
                        </w:pPr>
                        <w:r>
                          <w:t xml:space="preserve">Figure from </w:t>
                        </w:r>
                        <w:r>
                          <w:fldChar w:fldCharType="begin"/>
                        </w:r>
                        <w:r>
                          <w:instrText xml:space="preserve"> ADDIN EN.CITE &lt;EndNote&gt;&lt;Cite&gt;&lt;Author&gt;Abu-Remaileh&lt;/Author&gt;&lt;Year&gt;2017&lt;/Year&gt;&lt;RecNum&gt;211&lt;/RecNum&gt;&lt;DisplayText&gt;[2]&lt;/DisplayText&gt;&lt;record&gt;&lt;rec-number&gt;211&lt;/rec-number&gt;&lt;foreign-keys&gt;&lt;key app="EN" db-id="922z0aw9wfta05e2a0s5wzah2eawzfx92wzt" timestamp="1544647550"&gt;211&lt;/key&gt;&lt;/foreign-keys&gt;&lt;ref-type name="Journal Article"&gt;17&lt;/ref-type&gt;&lt;contributors&gt;&lt;authors&gt;&lt;author&gt;Abu-Remaileh, Monther&lt;/author&gt;&lt;author&gt;Wyant, Gregory A.&lt;/author&gt;&lt;author&gt;Kim, Choah&lt;/author&gt;&lt;author&gt;Laqtom, Nouf N.&lt;/author&gt;&lt;author&gt;Abbasi, Maria&lt;/author&gt;&lt;author&gt;Chan, Sze Ham&lt;/author&gt;&lt;author&gt;Freinkman, Elizaveta&lt;/author&gt;&lt;author&gt;Sabatini, David M.&lt;/author&gt;&lt;/authors&gt;&lt;/contributors&gt;&lt;titles&gt;&lt;title&gt;Lysosomal metabolomics reveals V-ATPase- and mTOR-dependent regulation of amino acid efflux from lysosomes&lt;/title&gt;&lt;secondary-title&gt;Science&lt;/secondary-title&gt;&lt;/titles&gt;&lt;periodical&gt;&lt;full-title&gt;Science&lt;/full-title&gt;&lt;/periodical&gt;&lt;pages&gt;807&lt;/pages&gt;&lt;volume&gt;358&lt;/volume&gt;&lt;number&gt;6364&lt;/number&gt;&lt;dates&gt;&lt;year&gt;2017&lt;/year&gt;&lt;/dates&gt;&lt;work-type&gt;10.1126/science.aan6298&lt;/work-type&gt;&lt;urls&gt;&lt;related-urls&gt;&lt;url&gt;http://science.sciencemag.org/content/358/6364/807.abstract&lt;/url&gt;&lt;/related-urls&gt;&lt;/urls&gt;&lt;/record&gt;&lt;/Cite&gt;&lt;/EndNote&gt;</w:instrText>
                        </w:r>
                        <w:r>
                          <w:fldChar w:fldCharType="separate"/>
                        </w:r>
                        <w:r>
                          <w:rPr>
                            <w:noProof/>
                          </w:rPr>
                          <w:t>[2]</w:t>
                        </w:r>
                        <w:r>
                          <w:fldChar w:fldCharType="end"/>
                        </w:r>
                      </w:p>
                    </w:txbxContent>
                  </v:textbox>
                  <w10:wrap type="square"/>
                </v:shape>
              </w:pict>
            </w:r>
            <w:r w:rsidR="000C7F50">
              <w:rPr>
                <w:noProof/>
                <w:lang w:eastAsia="nl-NL"/>
              </w:rPr>
              <w:drawing>
                <wp:anchor distT="0" distB="0" distL="114300" distR="114300" simplePos="0" relativeHeight="251663360" behindDoc="0" locked="0" layoutInCell="1" allowOverlap="1">
                  <wp:simplePos x="0" y="0"/>
                  <wp:positionH relativeFrom="margin">
                    <wp:posOffset>4071800</wp:posOffset>
                  </wp:positionH>
                  <wp:positionV relativeFrom="margin">
                    <wp:posOffset>316943</wp:posOffset>
                  </wp:positionV>
                  <wp:extent cx="1530985" cy="579755"/>
                  <wp:effectExtent l="19050" t="19050" r="12065" b="1079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192" t="18657" r="1818"/>
                          <a:stretch/>
                        </pic:blipFill>
                        <pic:spPr bwMode="auto">
                          <a:xfrm>
                            <a:off x="0" y="0"/>
                            <a:ext cx="1530985" cy="579755"/>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r w:rsidR="000C7F50">
              <w:t xml:space="preserve">Atg7 defective cells were generated by inhibiting gene expression of the Atg7 gene with RNA interference. The cells in which Atg7 was silenced show no staining with anti-ATG7, while wild type cells do </w:t>
            </w:r>
            <w:r w:rsidR="00A51F85">
              <w:fldChar w:fldCharType="begin"/>
            </w:r>
            <w:r w:rsidR="005F4054">
              <w:instrText xml:space="preserve"> ADDIN EN.CITE &lt;EndNote&gt;&lt;Cite&gt;&lt;Author&gt;Abu-Remaileh&lt;/Author&gt;&lt;Year&gt;2017&lt;/Year&gt;&lt;RecNum&gt;211&lt;/RecNum&gt;&lt;DisplayText&gt;[2]&lt;/DisplayText&gt;&lt;record&gt;&lt;rec-number&gt;211&lt;/rec-number&gt;&lt;foreign-keys&gt;&lt;key app="EN" db-id="922z0aw9wfta05e2a0s5wzah2eawzfx92wzt" timestamp="1544647550"&gt;211&lt;/key&gt;&lt;/foreign-keys&gt;&lt;ref-type name="Journal Article"&gt;17&lt;/ref-type&gt;&lt;contributors&gt;&lt;authors&gt;&lt;author&gt;Abu-Remaileh, Monther&lt;/author&gt;&lt;author&gt;Wyant, Gregory A.&lt;/author&gt;&lt;author&gt;Kim, Choah&lt;/author&gt;&lt;author&gt;Laqtom, Nouf N.&lt;/author&gt;&lt;author&gt;Abbasi, Maria&lt;/author&gt;&lt;author&gt;Chan, Sze Ham&lt;/author&gt;&lt;author&gt;Freinkman, Elizaveta&lt;/author&gt;&lt;author&gt;Sabatini, David M.&lt;/author&gt;&lt;/authors&gt;&lt;/contributors&gt;&lt;titles&gt;&lt;title&gt;Lysosomal metabolomics reveals V-ATPase- and mTOR-dependent regulation of amino acid efflux from lysosomes&lt;/title&gt;&lt;secondary-title&gt;Science&lt;/secondary-title&gt;&lt;/titles&gt;&lt;periodical&gt;&lt;full-title&gt;Science&lt;/full-title&gt;&lt;/periodical&gt;&lt;pages&gt;807&lt;/pages&gt;&lt;volume&gt;358&lt;/volume&gt;&lt;number&gt;6364&lt;/number&gt;&lt;dates&gt;&lt;year&gt;2017&lt;/year&gt;&lt;/dates&gt;&lt;work-type&gt;10.1126/science.aan6298&lt;/work-type&gt;&lt;urls&gt;&lt;related-urls&gt;&lt;url&gt;http://science.sciencemag.org/content/358/6364/807.abstract&lt;/url&gt;&lt;/related-urls&gt;&lt;/urls&gt;&lt;/record&gt;&lt;/Cite&gt;&lt;/EndNote&gt;</w:instrText>
            </w:r>
            <w:r w:rsidR="00A51F85">
              <w:fldChar w:fldCharType="separate"/>
            </w:r>
            <w:r w:rsidR="000C7F50">
              <w:rPr>
                <w:noProof/>
              </w:rPr>
              <w:t>[2]</w:t>
            </w:r>
            <w:r w:rsidR="00A51F85">
              <w:fldChar w:fldCharType="end"/>
            </w:r>
            <w:r w:rsidR="000C7F50">
              <w:t xml:space="preserve">. This type of validation was marked as validation by negative control (RNA interference) and by genetic strategies of the five pillars. </w:t>
            </w:r>
          </w:p>
        </w:tc>
      </w:tr>
    </w:tbl>
    <w:p w:rsidR="005F4054" w:rsidRDefault="005F4054">
      <w:pPr>
        <w:rPr>
          <w:lang w:val="en-US"/>
        </w:rPr>
      </w:pPr>
    </w:p>
    <w:p w:rsidR="005F4054" w:rsidRDefault="005F4054">
      <w:pPr>
        <w:rPr>
          <w:lang w:val="en-US"/>
        </w:rPr>
      </w:pPr>
      <w:r>
        <w:rPr>
          <w:lang w:val="en-US"/>
        </w:rPr>
        <w:br w:type="page"/>
      </w:r>
    </w:p>
    <w:p w:rsidR="00142197" w:rsidRDefault="005F4054" w:rsidP="005F4054">
      <w:pPr>
        <w:pStyle w:val="Heading1"/>
        <w:numPr>
          <w:ilvl w:val="0"/>
          <w:numId w:val="0"/>
        </w:numPr>
        <w:ind w:left="432" w:hanging="432"/>
      </w:pPr>
      <w:r>
        <w:lastRenderedPageBreak/>
        <w:t>References</w:t>
      </w:r>
    </w:p>
    <w:p w:rsidR="005F4054" w:rsidRDefault="005F4054" w:rsidP="005F4054">
      <w:pPr>
        <w:rPr>
          <w:lang w:val="en-US"/>
        </w:rPr>
      </w:pPr>
    </w:p>
    <w:p w:rsidR="005F4054" w:rsidRDefault="005F4054" w:rsidP="005F4054">
      <w:pPr>
        <w:rPr>
          <w:lang w:val="en-US"/>
        </w:rPr>
      </w:pPr>
    </w:p>
    <w:p w:rsidR="005F4054" w:rsidRPr="005F4054" w:rsidRDefault="00A51F85" w:rsidP="005F4054">
      <w:pPr>
        <w:pStyle w:val="EndNoteBibliography"/>
        <w:ind w:left="720" w:hanging="720"/>
        <w:rPr>
          <w:noProof/>
        </w:rPr>
      </w:pPr>
      <w:r>
        <w:fldChar w:fldCharType="begin"/>
      </w:r>
      <w:r w:rsidR="005F4054">
        <w:instrText xml:space="preserve"> ADDIN EN.REFLIST </w:instrText>
      </w:r>
      <w:r>
        <w:fldChar w:fldCharType="separate"/>
      </w:r>
      <w:r w:rsidR="005F4054" w:rsidRPr="005F4054">
        <w:rPr>
          <w:noProof/>
        </w:rPr>
        <w:t>1.</w:t>
      </w:r>
      <w:r w:rsidR="005F4054" w:rsidRPr="005F4054">
        <w:rPr>
          <w:noProof/>
        </w:rPr>
        <w:tab/>
        <w:t xml:space="preserve">Seoane, J., H.-V. Le, and J. Massagué, </w:t>
      </w:r>
      <w:r w:rsidR="005F4054" w:rsidRPr="005F4054">
        <w:rPr>
          <w:i/>
          <w:noProof/>
        </w:rPr>
        <w:t>Myc suppression of the p21Cip1 Cdk inhibitor influences the outcome of the p53 response to DNA damage.</w:t>
      </w:r>
      <w:r w:rsidR="005F4054" w:rsidRPr="005F4054">
        <w:rPr>
          <w:noProof/>
        </w:rPr>
        <w:t xml:space="preserve"> Nature, 2002. </w:t>
      </w:r>
      <w:r w:rsidR="005F4054" w:rsidRPr="005F4054">
        <w:rPr>
          <w:b/>
          <w:noProof/>
        </w:rPr>
        <w:t>419</w:t>
      </w:r>
      <w:r w:rsidR="005F4054" w:rsidRPr="005F4054">
        <w:rPr>
          <w:noProof/>
        </w:rPr>
        <w:t>: p. 729.</w:t>
      </w:r>
    </w:p>
    <w:p w:rsidR="005F4054" w:rsidRPr="005F4054" w:rsidRDefault="005F4054" w:rsidP="005F4054">
      <w:pPr>
        <w:pStyle w:val="EndNoteBibliography"/>
        <w:ind w:left="720" w:hanging="720"/>
        <w:rPr>
          <w:noProof/>
        </w:rPr>
      </w:pPr>
      <w:r w:rsidRPr="005F4054">
        <w:rPr>
          <w:noProof/>
        </w:rPr>
        <w:t>2.</w:t>
      </w:r>
      <w:r w:rsidRPr="005F4054">
        <w:rPr>
          <w:noProof/>
        </w:rPr>
        <w:tab/>
        <w:t xml:space="preserve">Abu-Remaileh, M., et al., </w:t>
      </w:r>
      <w:r w:rsidRPr="005F4054">
        <w:rPr>
          <w:i/>
          <w:noProof/>
        </w:rPr>
        <w:t>Lysosomal metabolomics reveals V-ATPase- and mTOR-dependent regulation of amino acid efflux from lysosomes.</w:t>
      </w:r>
      <w:r w:rsidRPr="005F4054">
        <w:rPr>
          <w:noProof/>
        </w:rPr>
        <w:t xml:space="preserve"> Science, 2017. </w:t>
      </w:r>
      <w:r w:rsidRPr="005F4054">
        <w:rPr>
          <w:b/>
          <w:noProof/>
        </w:rPr>
        <w:t>358</w:t>
      </w:r>
      <w:r w:rsidRPr="005F4054">
        <w:rPr>
          <w:noProof/>
        </w:rPr>
        <w:t>(6364): p. 807.</w:t>
      </w:r>
    </w:p>
    <w:p w:rsidR="005F4054" w:rsidRPr="005F4054" w:rsidRDefault="005F4054" w:rsidP="005F4054">
      <w:pPr>
        <w:pStyle w:val="EndNoteBibliography"/>
        <w:ind w:left="720" w:hanging="720"/>
        <w:rPr>
          <w:noProof/>
        </w:rPr>
      </w:pPr>
      <w:r w:rsidRPr="005F4054">
        <w:rPr>
          <w:noProof/>
        </w:rPr>
        <w:t>3.</w:t>
      </w:r>
      <w:r w:rsidRPr="005F4054">
        <w:rPr>
          <w:noProof/>
        </w:rPr>
        <w:tab/>
        <w:t xml:space="preserve">Bordeaux, J., et al., </w:t>
      </w:r>
      <w:r w:rsidRPr="005F4054">
        <w:rPr>
          <w:i/>
          <w:noProof/>
        </w:rPr>
        <w:t>Antibody validation.</w:t>
      </w:r>
      <w:r w:rsidRPr="005F4054">
        <w:rPr>
          <w:noProof/>
        </w:rPr>
        <w:t xml:space="preserve"> Biotechniques, 2010. </w:t>
      </w:r>
      <w:r w:rsidRPr="005F4054">
        <w:rPr>
          <w:b/>
          <w:noProof/>
        </w:rPr>
        <w:t>48</w:t>
      </w:r>
      <w:r w:rsidRPr="005F4054">
        <w:rPr>
          <w:noProof/>
        </w:rPr>
        <w:t>(3): p. 197.</w:t>
      </w:r>
    </w:p>
    <w:p w:rsidR="005F4054" w:rsidRPr="005F4054" w:rsidRDefault="005F4054" w:rsidP="005F4054">
      <w:pPr>
        <w:pStyle w:val="EndNoteBibliography"/>
        <w:ind w:left="720" w:hanging="720"/>
        <w:rPr>
          <w:noProof/>
        </w:rPr>
      </w:pPr>
      <w:r w:rsidRPr="005F4054">
        <w:rPr>
          <w:noProof/>
        </w:rPr>
        <w:t>4.</w:t>
      </w:r>
      <w:r w:rsidRPr="005F4054">
        <w:rPr>
          <w:noProof/>
        </w:rPr>
        <w:tab/>
        <w:t xml:space="preserve">Uhlen, M., et al., </w:t>
      </w:r>
      <w:r w:rsidRPr="005F4054">
        <w:rPr>
          <w:i/>
          <w:noProof/>
        </w:rPr>
        <w:t>A proposal for validation of antibodies.</w:t>
      </w:r>
      <w:r w:rsidRPr="005F4054">
        <w:rPr>
          <w:noProof/>
        </w:rPr>
        <w:t xml:space="preserve"> Nature Methods, 2016. </w:t>
      </w:r>
      <w:r w:rsidRPr="005F4054">
        <w:rPr>
          <w:b/>
          <w:noProof/>
        </w:rPr>
        <w:t>13</w:t>
      </w:r>
      <w:r w:rsidRPr="005F4054">
        <w:rPr>
          <w:noProof/>
        </w:rPr>
        <w:t>: p. 823.</w:t>
      </w:r>
    </w:p>
    <w:p w:rsidR="005F4054" w:rsidRPr="005F4054" w:rsidRDefault="005F4054" w:rsidP="005F4054">
      <w:pPr>
        <w:pStyle w:val="EndNoteBibliography"/>
        <w:ind w:left="720" w:hanging="720"/>
        <w:rPr>
          <w:noProof/>
        </w:rPr>
      </w:pPr>
      <w:r w:rsidRPr="005F4054">
        <w:rPr>
          <w:noProof/>
        </w:rPr>
        <w:t>5.</w:t>
      </w:r>
      <w:r w:rsidRPr="005F4054">
        <w:rPr>
          <w:noProof/>
        </w:rPr>
        <w:tab/>
        <w:t xml:space="preserve">Ivell, R., K. Teerds, and G.E. Hoffman, </w:t>
      </w:r>
      <w:r w:rsidRPr="005F4054">
        <w:rPr>
          <w:i/>
          <w:noProof/>
        </w:rPr>
        <w:t>Proper Application of Antibodies for Immunohistochemical Detection: Antibody Crimes and How to Prevent Them.</w:t>
      </w:r>
      <w:r w:rsidRPr="005F4054">
        <w:rPr>
          <w:noProof/>
        </w:rPr>
        <w:t xml:space="preserve"> Endocrinology, 2014. </w:t>
      </w:r>
      <w:r w:rsidRPr="005F4054">
        <w:rPr>
          <w:b/>
          <w:noProof/>
        </w:rPr>
        <w:t>155</w:t>
      </w:r>
      <w:r w:rsidRPr="005F4054">
        <w:rPr>
          <w:noProof/>
        </w:rPr>
        <w:t>(3): p. 676-687.</w:t>
      </w:r>
    </w:p>
    <w:p w:rsidR="005F4054" w:rsidRPr="005F4054" w:rsidRDefault="005F4054" w:rsidP="005F4054">
      <w:pPr>
        <w:pStyle w:val="EndNoteBibliography"/>
        <w:ind w:left="720" w:hanging="720"/>
        <w:rPr>
          <w:noProof/>
        </w:rPr>
      </w:pPr>
      <w:r w:rsidRPr="005F4054">
        <w:rPr>
          <w:noProof/>
        </w:rPr>
        <w:t>6.</w:t>
      </w:r>
      <w:r w:rsidRPr="005F4054">
        <w:rPr>
          <w:noProof/>
        </w:rPr>
        <w:tab/>
        <w:t xml:space="preserve">Hewitt, S.M., et al., </w:t>
      </w:r>
      <w:r w:rsidRPr="005F4054">
        <w:rPr>
          <w:i/>
          <w:noProof/>
        </w:rPr>
        <w:t>Controls for Immunohistochemistry: The Histochemical Society’s Standards of Practice for Validation of Immunohistochemical Assays.</w:t>
      </w:r>
      <w:r w:rsidRPr="005F4054">
        <w:rPr>
          <w:noProof/>
        </w:rPr>
        <w:t xml:space="preserve"> Journal of Histochemistry and Cytochemistry, 2014. </w:t>
      </w:r>
      <w:r w:rsidRPr="005F4054">
        <w:rPr>
          <w:b/>
          <w:noProof/>
        </w:rPr>
        <w:t>62</w:t>
      </w:r>
      <w:r w:rsidRPr="005F4054">
        <w:rPr>
          <w:noProof/>
        </w:rPr>
        <w:t>(10): p. 693-697.</w:t>
      </w:r>
    </w:p>
    <w:p w:rsidR="005F4054" w:rsidRPr="005F4054" w:rsidRDefault="005F4054" w:rsidP="005F4054">
      <w:pPr>
        <w:pStyle w:val="EndNoteBibliography"/>
        <w:ind w:left="720" w:hanging="720"/>
        <w:rPr>
          <w:noProof/>
        </w:rPr>
      </w:pPr>
      <w:r w:rsidRPr="005F4054">
        <w:rPr>
          <w:noProof/>
        </w:rPr>
        <w:t>7.</w:t>
      </w:r>
      <w:r w:rsidRPr="005F4054">
        <w:rPr>
          <w:noProof/>
        </w:rPr>
        <w:tab/>
        <w:t xml:space="preserve">Howat, W.J., et al., </w:t>
      </w:r>
      <w:r w:rsidRPr="005F4054">
        <w:rPr>
          <w:i/>
          <w:noProof/>
        </w:rPr>
        <w:t>Antibody validation of immunohistochemistry for biomarker discovery: Recommendations of a consortium of academic and pharmaceutical based histopathology researchers.</w:t>
      </w:r>
      <w:r w:rsidRPr="005F4054">
        <w:rPr>
          <w:noProof/>
        </w:rPr>
        <w:t xml:space="preserve"> Methods, 2014. </w:t>
      </w:r>
      <w:r w:rsidRPr="005F4054">
        <w:rPr>
          <w:b/>
          <w:noProof/>
        </w:rPr>
        <w:t>70</w:t>
      </w:r>
      <w:r w:rsidRPr="005F4054">
        <w:rPr>
          <w:noProof/>
        </w:rPr>
        <w:t>(1): p. 34-38.</w:t>
      </w:r>
    </w:p>
    <w:p w:rsidR="005F4054" w:rsidRPr="005F4054" w:rsidRDefault="005F4054" w:rsidP="005F4054">
      <w:pPr>
        <w:pStyle w:val="EndNoteBibliography"/>
        <w:ind w:left="720" w:hanging="720"/>
        <w:rPr>
          <w:noProof/>
        </w:rPr>
      </w:pPr>
      <w:r w:rsidRPr="005F4054">
        <w:rPr>
          <w:noProof/>
        </w:rPr>
        <w:t>8.</w:t>
      </w:r>
      <w:r w:rsidRPr="005F4054">
        <w:rPr>
          <w:noProof/>
        </w:rPr>
        <w:tab/>
        <w:t xml:space="preserve">GBSI, </w:t>
      </w:r>
      <w:r w:rsidRPr="005F4054">
        <w:rPr>
          <w:i/>
          <w:noProof/>
        </w:rPr>
        <w:t>Drivers for Adoption: Ensuring Acceptance and Compliance by the Research Community</w:t>
      </w:r>
      <w:r w:rsidRPr="005F4054">
        <w:rPr>
          <w:noProof/>
        </w:rPr>
        <w:t>. 2016, Global Biological Standards Institute.</w:t>
      </w:r>
    </w:p>
    <w:p w:rsidR="005F4054" w:rsidRPr="005F4054" w:rsidRDefault="005F4054" w:rsidP="005F4054">
      <w:pPr>
        <w:pStyle w:val="EndNoteBibliography"/>
        <w:ind w:left="720" w:hanging="720"/>
        <w:rPr>
          <w:noProof/>
        </w:rPr>
      </w:pPr>
      <w:r w:rsidRPr="005F4054">
        <w:rPr>
          <w:noProof/>
        </w:rPr>
        <w:t>9.</w:t>
      </w:r>
      <w:r w:rsidRPr="005F4054">
        <w:rPr>
          <w:noProof/>
        </w:rPr>
        <w:tab/>
        <w:t xml:space="preserve">O'hurley, G., et al., </w:t>
      </w:r>
      <w:r w:rsidRPr="005F4054">
        <w:rPr>
          <w:i/>
          <w:noProof/>
        </w:rPr>
        <w:t>Garbage in, garbage out: a critical evaluation of strategies used for validation of immunohistochemical biomarkers.</w:t>
      </w:r>
      <w:r w:rsidRPr="005F4054">
        <w:rPr>
          <w:noProof/>
        </w:rPr>
        <w:t xml:space="preserve"> Molecular oncology, 2014. </w:t>
      </w:r>
      <w:r w:rsidRPr="005F4054">
        <w:rPr>
          <w:b/>
          <w:noProof/>
        </w:rPr>
        <w:t>8</w:t>
      </w:r>
      <w:r w:rsidRPr="005F4054">
        <w:rPr>
          <w:noProof/>
        </w:rPr>
        <w:t>(4): p. 783-798.</w:t>
      </w:r>
    </w:p>
    <w:p w:rsidR="005F4054" w:rsidRPr="005F4054" w:rsidRDefault="005F4054" w:rsidP="005F4054">
      <w:pPr>
        <w:pStyle w:val="EndNoteBibliography"/>
        <w:ind w:left="720" w:hanging="720"/>
        <w:rPr>
          <w:noProof/>
        </w:rPr>
      </w:pPr>
      <w:r w:rsidRPr="005F4054">
        <w:rPr>
          <w:noProof/>
        </w:rPr>
        <w:t>10.</w:t>
      </w:r>
      <w:r w:rsidRPr="005F4054">
        <w:rPr>
          <w:noProof/>
        </w:rPr>
        <w:tab/>
        <w:t xml:space="preserve">Saper, C.B. and P.E. Sawchenko, </w:t>
      </w:r>
      <w:r w:rsidRPr="005F4054">
        <w:rPr>
          <w:i/>
          <w:noProof/>
        </w:rPr>
        <w:t>Magic peptides, magic antibodies: guidelines for appropriate controls for immunohistochemistry.</w:t>
      </w:r>
      <w:r w:rsidRPr="005F4054">
        <w:rPr>
          <w:noProof/>
        </w:rPr>
        <w:t xml:space="preserve"> Journal of Comparative Neurology, 2003. </w:t>
      </w:r>
      <w:r w:rsidRPr="005F4054">
        <w:rPr>
          <w:b/>
          <w:noProof/>
        </w:rPr>
        <w:t>465</w:t>
      </w:r>
      <w:r w:rsidRPr="005F4054">
        <w:rPr>
          <w:noProof/>
        </w:rPr>
        <w:t>(2): p. 161-163.</w:t>
      </w:r>
    </w:p>
    <w:p w:rsidR="005F4054" w:rsidRPr="005F4054" w:rsidRDefault="005F4054" w:rsidP="005F4054">
      <w:pPr>
        <w:pStyle w:val="EndNoteBibliography"/>
        <w:ind w:left="720" w:hanging="720"/>
        <w:rPr>
          <w:noProof/>
        </w:rPr>
      </w:pPr>
      <w:r w:rsidRPr="005F4054">
        <w:rPr>
          <w:noProof/>
        </w:rPr>
        <w:t>11.</w:t>
      </w:r>
      <w:r w:rsidRPr="005F4054">
        <w:rPr>
          <w:noProof/>
        </w:rPr>
        <w:tab/>
        <w:t xml:space="preserve">Voskuil, J.L.A., </w:t>
      </w:r>
      <w:r w:rsidRPr="005F4054">
        <w:rPr>
          <w:i/>
          <w:noProof/>
        </w:rPr>
        <w:t>Commercial antibodies and their validation.</w:t>
      </w:r>
      <w:r w:rsidRPr="005F4054">
        <w:rPr>
          <w:noProof/>
        </w:rPr>
        <w:t xml:space="preserve"> F1000Research, 2014. </w:t>
      </w:r>
      <w:r w:rsidRPr="005F4054">
        <w:rPr>
          <w:b/>
          <w:noProof/>
        </w:rPr>
        <w:t>3</w:t>
      </w:r>
      <w:r w:rsidRPr="005F4054">
        <w:rPr>
          <w:noProof/>
        </w:rPr>
        <w:t>: p. 232.</w:t>
      </w:r>
    </w:p>
    <w:p w:rsidR="005F4054" w:rsidRPr="005F4054" w:rsidRDefault="005F4054" w:rsidP="005F4054">
      <w:pPr>
        <w:pStyle w:val="EndNoteBibliography"/>
        <w:ind w:left="720" w:hanging="720"/>
        <w:rPr>
          <w:noProof/>
        </w:rPr>
      </w:pPr>
      <w:r w:rsidRPr="005F4054">
        <w:rPr>
          <w:noProof/>
        </w:rPr>
        <w:t>12.</w:t>
      </w:r>
      <w:r w:rsidRPr="005F4054">
        <w:rPr>
          <w:noProof/>
        </w:rPr>
        <w:tab/>
        <w:t xml:space="preserve">Acharya, P., A. Quinlan, and V. Neumeister, </w:t>
      </w:r>
      <w:r w:rsidRPr="005F4054">
        <w:rPr>
          <w:i/>
          <w:noProof/>
        </w:rPr>
        <w:t>The ABCs of finding a good antibody: How to find a good antibody, validate it, and publish meaningful data.</w:t>
      </w:r>
      <w:r w:rsidRPr="005F4054">
        <w:rPr>
          <w:noProof/>
        </w:rPr>
        <w:t xml:space="preserve"> F1000Research, 2017. </w:t>
      </w:r>
      <w:r w:rsidRPr="005F4054">
        <w:rPr>
          <w:b/>
          <w:noProof/>
        </w:rPr>
        <w:t>6</w:t>
      </w:r>
      <w:r w:rsidRPr="005F4054">
        <w:rPr>
          <w:noProof/>
        </w:rPr>
        <w:t>.</w:t>
      </w:r>
    </w:p>
    <w:p w:rsidR="005F4054" w:rsidRPr="005F4054" w:rsidRDefault="005F4054" w:rsidP="005F4054">
      <w:pPr>
        <w:pStyle w:val="EndNoteBibliography"/>
        <w:ind w:left="720" w:hanging="720"/>
        <w:rPr>
          <w:noProof/>
        </w:rPr>
      </w:pPr>
      <w:r w:rsidRPr="005F4054">
        <w:rPr>
          <w:noProof/>
        </w:rPr>
        <w:t>13.</w:t>
      </w:r>
      <w:r w:rsidRPr="005F4054">
        <w:rPr>
          <w:noProof/>
        </w:rPr>
        <w:tab/>
        <w:t xml:space="preserve">Gilda, J., et al., </w:t>
      </w:r>
      <w:r w:rsidRPr="005F4054">
        <w:rPr>
          <w:i/>
          <w:noProof/>
        </w:rPr>
        <w:t>Western Blotting Inaccuracies with Unverified Antibodies: Need for a Western Blotting Minimal Reporting Standard (WBMRS)</w:t>
      </w:r>
      <w:r w:rsidRPr="005F4054">
        <w:rPr>
          <w:noProof/>
        </w:rPr>
        <w:t>. Vol. 10. 2015. e0135392.</w:t>
      </w:r>
    </w:p>
    <w:p w:rsidR="005F4054" w:rsidRPr="005F4054" w:rsidRDefault="005F4054" w:rsidP="005F4054">
      <w:pPr>
        <w:pStyle w:val="EndNoteBibliography"/>
        <w:ind w:left="720" w:hanging="720"/>
        <w:rPr>
          <w:noProof/>
        </w:rPr>
      </w:pPr>
      <w:r w:rsidRPr="005F4054">
        <w:rPr>
          <w:noProof/>
        </w:rPr>
        <w:t>14.</w:t>
      </w:r>
      <w:r w:rsidRPr="005F4054">
        <w:rPr>
          <w:noProof/>
        </w:rPr>
        <w:tab/>
        <w:t xml:space="preserve">Weller, M.G., </w:t>
      </w:r>
      <w:r w:rsidRPr="005F4054">
        <w:rPr>
          <w:i/>
          <w:noProof/>
        </w:rPr>
        <w:t>Quality issues of research antibodies.</w:t>
      </w:r>
      <w:r w:rsidRPr="005F4054">
        <w:rPr>
          <w:noProof/>
        </w:rPr>
        <w:t xml:space="preserve"> Analytical chemistry insights, 2016. </w:t>
      </w:r>
      <w:r w:rsidRPr="005F4054">
        <w:rPr>
          <w:b/>
          <w:noProof/>
        </w:rPr>
        <w:t>11</w:t>
      </w:r>
      <w:r w:rsidRPr="005F4054">
        <w:rPr>
          <w:noProof/>
        </w:rPr>
        <w:t>: p. ACI. S31614.</w:t>
      </w:r>
    </w:p>
    <w:p w:rsidR="005F4054" w:rsidRPr="005F4054" w:rsidRDefault="005F4054" w:rsidP="005F4054">
      <w:pPr>
        <w:pStyle w:val="EndNoteBibliography"/>
        <w:ind w:left="720" w:hanging="720"/>
        <w:rPr>
          <w:noProof/>
        </w:rPr>
      </w:pPr>
      <w:r w:rsidRPr="005F4054">
        <w:rPr>
          <w:noProof/>
        </w:rPr>
        <w:t>15.</w:t>
      </w:r>
      <w:r w:rsidRPr="005F4054">
        <w:rPr>
          <w:noProof/>
        </w:rPr>
        <w:tab/>
        <w:t xml:space="preserve">Dove, A., </w:t>
      </w:r>
      <w:r w:rsidRPr="005F4054">
        <w:rPr>
          <w:i/>
          <w:noProof/>
        </w:rPr>
        <w:t>Technology Feature| Agreeable antibodies: Antibody validation challenges and solutions.</w:t>
      </w:r>
      <w:r w:rsidRPr="005F4054">
        <w:rPr>
          <w:noProof/>
        </w:rPr>
        <w:t xml:space="preserve"> Science, 2017. </w:t>
      </w:r>
      <w:r w:rsidRPr="005F4054">
        <w:rPr>
          <w:b/>
          <w:noProof/>
        </w:rPr>
        <w:t>357</w:t>
      </w:r>
      <w:r w:rsidRPr="005F4054">
        <w:rPr>
          <w:noProof/>
        </w:rPr>
        <w:t>(6356): p. 1165-1167.</w:t>
      </w:r>
    </w:p>
    <w:p w:rsidR="005F4054" w:rsidRPr="005F4054" w:rsidRDefault="005F4054" w:rsidP="005F4054">
      <w:pPr>
        <w:pStyle w:val="EndNoteBibliography"/>
        <w:ind w:left="720" w:hanging="720"/>
        <w:rPr>
          <w:noProof/>
        </w:rPr>
      </w:pPr>
      <w:r w:rsidRPr="005F4054">
        <w:rPr>
          <w:noProof/>
        </w:rPr>
        <w:t>16.</w:t>
      </w:r>
      <w:r w:rsidRPr="005F4054">
        <w:rPr>
          <w:noProof/>
        </w:rPr>
        <w:tab/>
        <w:t xml:space="preserve">Ramos-Vara, J. and M. Miller, </w:t>
      </w:r>
      <w:r w:rsidRPr="005F4054">
        <w:rPr>
          <w:i/>
          <w:noProof/>
        </w:rPr>
        <w:t>When tissue antigens and antibodies get along: revisiting the technical aspects of immunohistochemistry—the red, brown, and blue technique.</w:t>
      </w:r>
      <w:r w:rsidRPr="005F4054">
        <w:rPr>
          <w:noProof/>
        </w:rPr>
        <w:t xml:space="preserve"> Veterinary pathology, 2014. </w:t>
      </w:r>
      <w:r w:rsidRPr="005F4054">
        <w:rPr>
          <w:b/>
          <w:noProof/>
        </w:rPr>
        <w:t>51</w:t>
      </w:r>
      <w:r w:rsidRPr="005F4054">
        <w:rPr>
          <w:noProof/>
        </w:rPr>
        <w:t>(1): p. 42-87.</w:t>
      </w:r>
    </w:p>
    <w:p w:rsidR="005F4054" w:rsidRPr="005F4054" w:rsidRDefault="00A51F85" w:rsidP="005F4054">
      <w:pPr>
        <w:rPr>
          <w:lang w:val="en-US"/>
        </w:rPr>
      </w:pPr>
      <w:r>
        <w:rPr>
          <w:lang w:val="en-US"/>
        </w:rPr>
        <w:fldChar w:fldCharType="end"/>
      </w:r>
    </w:p>
    <w:sectPr w:rsidR="005F4054" w:rsidRPr="005F4054" w:rsidSect="008C03DF">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642" w:rsidRDefault="00D03642" w:rsidP="00382745">
      <w:r>
        <w:separator/>
      </w:r>
    </w:p>
  </w:endnote>
  <w:endnote w:type="continuationSeparator" w:id="0">
    <w:p w:rsidR="00D03642" w:rsidRDefault="00D03642" w:rsidP="0038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62822415"/>
      <w:docPartObj>
        <w:docPartGallery w:val="Page Numbers (Bottom of Page)"/>
        <w:docPartUnique/>
      </w:docPartObj>
    </w:sdtPr>
    <w:sdtEndPr>
      <w:rPr>
        <w:rStyle w:val="PageNumber"/>
      </w:rPr>
    </w:sdtEndPr>
    <w:sdtContent>
      <w:p w:rsidR="00D03642" w:rsidRDefault="00D03642" w:rsidP="00BF63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03642" w:rsidRDefault="00D03642" w:rsidP="00885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1657584"/>
      <w:docPartObj>
        <w:docPartGallery w:val="Page Numbers (Bottom of Page)"/>
        <w:docPartUnique/>
      </w:docPartObj>
    </w:sdtPr>
    <w:sdtEndPr>
      <w:rPr>
        <w:rStyle w:val="PageNumber"/>
      </w:rPr>
    </w:sdtEndPr>
    <w:sdtContent>
      <w:p w:rsidR="00D03642" w:rsidRDefault="00D03642" w:rsidP="00BF63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F608E">
          <w:rPr>
            <w:rStyle w:val="PageNumber"/>
            <w:noProof/>
          </w:rPr>
          <w:t>10</w:t>
        </w:r>
        <w:r>
          <w:rPr>
            <w:rStyle w:val="PageNumber"/>
          </w:rPr>
          <w:fldChar w:fldCharType="end"/>
        </w:r>
      </w:p>
    </w:sdtContent>
  </w:sdt>
  <w:p w:rsidR="00D03642" w:rsidRDefault="00D03642" w:rsidP="008856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642" w:rsidRDefault="00D03642" w:rsidP="00382745">
      <w:r>
        <w:separator/>
      </w:r>
    </w:p>
  </w:footnote>
  <w:footnote w:type="continuationSeparator" w:id="0">
    <w:p w:rsidR="00D03642" w:rsidRDefault="00D03642" w:rsidP="00382745">
      <w:r>
        <w:continuationSeparator/>
      </w:r>
    </w:p>
  </w:footnote>
  <w:footnote w:id="1">
    <w:p w:rsidR="00D03642" w:rsidRDefault="00D03642" w:rsidP="00382745">
      <w:pPr>
        <w:pStyle w:val="FootnoteText"/>
      </w:pPr>
      <w:r>
        <w:rPr>
          <w:rStyle w:val="FootnoteReference"/>
        </w:rPr>
        <w:footnoteRef/>
      </w:r>
      <w:r>
        <w:t xml:space="preserve"> These methods were combined with the category ‘Other’ during data analysis because they were not used prevalently enough to consider separately.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B494F"/>
    <w:multiLevelType w:val="multilevel"/>
    <w:tmpl w:val="37A4E222"/>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pStyle w:val="Heading4"/>
      <w:lvlText w:val=""/>
      <w:lvlJc w:val="left"/>
      <w:pPr>
        <w:ind w:left="0" w:hanging="432"/>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DD32481"/>
    <w:multiLevelType w:val="hybridMultilevel"/>
    <w:tmpl w:val="C854C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A049B"/>
    <w:multiLevelType w:val="hybridMultilevel"/>
    <w:tmpl w:val="27A4346A"/>
    <w:lvl w:ilvl="0" w:tplc="40B859F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E4615F"/>
    <w:multiLevelType w:val="hybridMultilevel"/>
    <w:tmpl w:val="59240D36"/>
    <w:lvl w:ilvl="0" w:tplc="1D081D24">
      <w:start w:val="1"/>
      <w:numFmt w:val="upperRoman"/>
      <w:pStyle w:val="Appendixstyle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D2BE1"/>
    <w:multiLevelType w:val="hybridMultilevel"/>
    <w:tmpl w:val="46F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22z0aw9wfta05e2a0s5wzah2eawzfx92wzt&quot;&gt;My EndNote Library&lt;record-ids&gt;&lt;item&gt;1&lt;/item&gt;&lt;item&gt;9&lt;/item&gt;&lt;item&gt;32&lt;/item&gt;&lt;item&gt;44&lt;/item&gt;&lt;item&gt;67&lt;/item&gt;&lt;item&gt;85&lt;/item&gt;&lt;item&gt;87&lt;/item&gt;&lt;item&gt;89&lt;/item&gt;&lt;item&gt;127&lt;/item&gt;&lt;item&gt;149&lt;/item&gt;&lt;item&gt;172&lt;/item&gt;&lt;item&gt;188&lt;/item&gt;&lt;item&gt;190&lt;/item&gt;&lt;item&gt;191&lt;/item&gt;&lt;item&gt;210&lt;/item&gt;&lt;item&gt;211&lt;/item&gt;&lt;/record-ids&gt;&lt;/item&gt;&lt;/Libraries&gt;"/>
  </w:docVars>
  <w:rsids>
    <w:rsidRoot w:val="00142197"/>
    <w:rsid w:val="00035738"/>
    <w:rsid w:val="00066023"/>
    <w:rsid w:val="000A3805"/>
    <w:rsid w:val="000C0846"/>
    <w:rsid w:val="000C7F50"/>
    <w:rsid w:val="00142197"/>
    <w:rsid w:val="001F7A32"/>
    <w:rsid w:val="002057A1"/>
    <w:rsid w:val="002F608E"/>
    <w:rsid w:val="00382745"/>
    <w:rsid w:val="003F3650"/>
    <w:rsid w:val="00425FB9"/>
    <w:rsid w:val="0052159F"/>
    <w:rsid w:val="005467AE"/>
    <w:rsid w:val="005A23AE"/>
    <w:rsid w:val="005F4054"/>
    <w:rsid w:val="0065530E"/>
    <w:rsid w:val="00693B85"/>
    <w:rsid w:val="006D2DB3"/>
    <w:rsid w:val="007214D0"/>
    <w:rsid w:val="007A52D9"/>
    <w:rsid w:val="007C3A18"/>
    <w:rsid w:val="007F1D72"/>
    <w:rsid w:val="00885643"/>
    <w:rsid w:val="00885C34"/>
    <w:rsid w:val="008A29AA"/>
    <w:rsid w:val="008C03DF"/>
    <w:rsid w:val="009332B4"/>
    <w:rsid w:val="009D71D5"/>
    <w:rsid w:val="00A51F85"/>
    <w:rsid w:val="00AE7F93"/>
    <w:rsid w:val="00B35220"/>
    <w:rsid w:val="00B37DD6"/>
    <w:rsid w:val="00BA35CF"/>
    <w:rsid w:val="00BF63A5"/>
    <w:rsid w:val="00C46CCA"/>
    <w:rsid w:val="00CD655F"/>
    <w:rsid w:val="00D03642"/>
    <w:rsid w:val="00D95790"/>
    <w:rsid w:val="00F75068"/>
    <w:rsid w:val="00F76DB8"/>
    <w:rsid w:val="00FF0A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E00FC48"/>
  <w15:docId w15:val="{FCE80DFA-B024-470A-A02D-EE97D932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F85"/>
  </w:style>
  <w:style w:type="paragraph" w:styleId="Heading1">
    <w:name w:val="heading 1"/>
    <w:basedOn w:val="Normal"/>
    <w:next w:val="Normal"/>
    <w:link w:val="Heading1Char"/>
    <w:uiPriority w:val="9"/>
    <w:qFormat/>
    <w:rsid w:val="00142197"/>
    <w:pPr>
      <w:keepNext/>
      <w:keepLines/>
      <w:numPr>
        <w:numId w:val="1"/>
      </w:numPr>
      <w:spacing w:before="480" w:line="276" w:lineRule="auto"/>
      <w:ind w:left="432"/>
      <w:outlineLvl w:val="0"/>
    </w:pPr>
    <w:rPr>
      <w:rFonts w:asciiTheme="majorHAnsi" w:eastAsiaTheme="majorEastAsia" w:hAnsiTheme="majorHAnsi" w:cstheme="majorBidi"/>
      <w:b/>
      <w:bCs/>
      <w:sz w:val="28"/>
      <w:szCs w:val="28"/>
      <w:lang w:val="en-US"/>
    </w:rPr>
  </w:style>
  <w:style w:type="paragraph" w:styleId="Heading2">
    <w:name w:val="heading 2"/>
    <w:basedOn w:val="Normal"/>
    <w:next w:val="Normal"/>
    <w:link w:val="Heading2Char"/>
    <w:uiPriority w:val="9"/>
    <w:unhideWhenUsed/>
    <w:qFormat/>
    <w:rsid w:val="00142197"/>
    <w:pPr>
      <w:keepNext/>
      <w:keepLines/>
      <w:numPr>
        <w:ilvl w:val="1"/>
        <w:numId w:val="1"/>
      </w:numPr>
      <w:spacing w:before="200" w:line="276" w:lineRule="auto"/>
      <w:outlineLvl w:val="1"/>
    </w:pPr>
    <w:rPr>
      <w:rFonts w:asciiTheme="majorHAnsi" w:eastAsiaTheme="majorEastAsia" w:hAnsiTheme="majorHAnsi" w:cstheme="majorBidi"/>
      <w:b/>
      <w:bCs/>
      <w:color w:val="404040" w:themeColor="text1" w:themeTint="BF"/>
      <w:sz w:val="26"/>
      <w:szCs w:val="26"/>
      <w:lang w:val="en-US"/>
    </w:rPr>
  </w:style>
  <w:style w:type="paragraph" w:styleId="Heading3">
    <w:name w:val="heading 3"/>
    <w:basedOn w:val="Normal"/>
    <w:next w:val="Normal"/>
    <w:link w:val="Heading3Char"/>
    <w:uiPriority w:val="9"/>
    <w:unhideWhenUsed/>
    <w:qFormat/>
    <w:rsid w:val="00142197"/>
    <w:pPr>
      <w:keepNext/>
      <w:keepLines/>
      <w:numPr>
        <w:ilvl w:val="2"/>
        <w:numId w:val="1"/>
      </w:numPr>
      <w:spacing w:before="200" w:line="276" w:lineRule="auto"/>
      <w:outlineLvl w:val="2"/>
    </w:pPr>
    <w:rPr>
      <w:rFonts w:asciiTheme="majorHAnsi" w:eastAsiaTheme="majorEastAsia" w:hAnsiTheme="majorHAnsi" w:cstheme="majorBidi"/>
      <w:b/>
      <w:bCs/>
      <w:color w:val="404040" w:themeColor="text1" w:themeTint="BF"/>
      <w:sz w:val="22"/>
      <w:szCs w:val="22"/>
      <w:lang w:val="en-US"/>
    </w:rPr>
  </w:style>
  <w:style w:type="paragraph" w:styleId="Heading4">
    <w:name w:val="heading 4"/>
    <w:basedOn w:val="Normal"/>
    <w:next w:val="Normal"/>
    <w:link w:val="Heading4Char"/>
    <w:uiPriority w:val="9"/>
    <w:unhideWhenUsed/>
    <w:qFormat/>
    <w:rsid w:val="00142197"/>
    <w:pPr>
      <w:keepNext/>
      <w:keepLines/>
      <w:numPr>
        <w:ilvl w:val="3"/>
        <w:numId w:val="1"/>
      </w:numPr>
      <w:spacing w:before="200" w:line="276" w:lineRule="auto"/>
      <w:outlineLvl w:val="3"/>
    </w:pPr>
    <w:rPr>
      <w:rFonts w:asciiTheme="majorHAnsi" w:eastAsiaTheme="majorEastAsia" w:hAnsiTheme="majorHAnsi" w:cstheme="majorBidi"/>
      <w:bCs/>
      <w:iCs/>
      <w:color w:val="404040" w:themeColor="text1" w:themeTint="BF"/>
      <w:sz w:val="22"/>
      <w:szCs w:val="22"/>
      <w:u w:val="single"/>
      <w:lang w:val="en-US"/>
    </w:rPr>
  </w:style>
  <w:style w:type="paragraph" w:styleId="Heading6">
    <w:name w:val="heading 6"/>
    <w:basedOn w:val="Normal"/>
    <w:next w:val="Normal"/>
    <w:link w:val="Heading6Char"/>
    <w:uiPriority w:val="9"/>
    <w:unhideWhenUsed/>
    <w:qFormat/>
    <w:rsid w:val="00142197"/>
    <w:pPr>
      <w:keepNext/>
      <w:keepLines/>
      <w:numPr>
        <w:ilvl w:val="5"/>
        <w:numId w:val="1"/>
      </w:numPr>
      <w:spacing w:before="200" w:line="276" w:lineRule="auto"/>
      <w:outlineLvl w:val="5"/>
    </w:pPr>
    <w:rPr>
      <w:rFonts w:asciiTheme="majorHAnsi" w:eastAsiaTheme="majorEastAsia" w:hAnsiTheme="majorHAnsi" w:cstheme="majorBidi"/>
      <w:i/>
      <w:iCs/>
      <w:color w:val="404040" w:themeColor="text1" w:themeTint="BF"/>
      <w:sz w:val="22"/>
      <w:szCs w:val="22"/>
      <w:lang w:val="en-US"/>
    </w:rPr>
  </w:style>
  <w:style w:type="paragraph" w:styleId="Heading7">
    <w:name w:val="heading 7"/>
    <w:basedOn w:val="Normal"/>
    <w:next w:val="Normal"/>
    <w:link w:val="Heading7Char"/>
    <w:uiPriority w:val="9"/>
    <w:semiHidden/>
    <w:unhideWhenUsed/>
    <w:qFormat/>
    <w:rsid w:val="00142197"/>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semiHidden/>
    <w:unhideWhenUsed/>
    <w:qFormat/>
    <w:rsid w:val="00142197"/>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142197"/>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2197"/>
    <w:rPr>
      <w:sz w:val="22"/>
      <w:szCs w:val="22"/>
      <w:lang w:val="en-US"/>
    </w:rPr>
  </w:style>
  <w:style w:type="character" w:customStyle="1" w:styleId="NoSpacingChar">
    <w:name w:val="No Spacing Char"/>
    <w:basedOn w:val="DefaultParagraphFont"/>
    <w:link w:val="NoSpacing"/>
    <w:uiPriority w:val="1"/>
    <w:rsid w:val="00142197"/>
    <w:rPr>
      <w:sz w:val="22"/>
      <w:szCs w:val="22"/>
      <w:lang w:val="en-US"/>
    </w:rPr>
  </w:style>
  <w:style w:type="character" w:customStyle="1" w:styleId="Heading1Char">
    <w:name w:val="Heading 1 Char"/>
    <w:basedOn w:val="DefaultParagraphFont"/>
    <w:link w:val="Heading1"/>
    <w:uiPriority w:val="9"/>
    <w:rsid w:val="00142197"/>
    <w:rPr>
      <w:rFonts w:asciiTheme="majorHAnsi" w:eastAsiaTheme="majorEastAsia" w:hAnsiTheme="majorHAnsi" w:cstheme="majorBidi"/>
      <w:b/>
      <w:bCs/>
      <w:sz w:val="28"/>
      <w:szCs w:val="28"/>
      <w:lang w:val="en-US"/>
    </w:rPr>
  </w:style>
  <w:style w:type="character" w:customStyle="1" w:styleId="Heading2Char">
    <w:name w:val="Heading 2 Char"/>
    <w:basedOn w:val="DefaultParagraphFont"/>
    <w:link w:val="Heading2"/>
    <w:uiPriority w:val="9"/>
    <w:rsid w:val="00142197"/>
    <w:rPr>
      <w:rFonts w:asciiTheme="majorHAnsi" w:eastAsiaTheme="majorEastAsia" w:hAnsiTheme="majorHAnsi" w:cstheme="majorBidi"/>
      <w:b/>
      <w:bCs/>
      <w:color w:val="404040" w:themeColor="text1" w:themeTint="BF"/>
      <w:sz w:val="26"/>
      <w:szCs w:val="26"/>
      <w:lang w:val="en-US"/>
    </w:rPr>
  </w:style>
  <w:style w:type="character" w:customStyle="1" w:styleId="Heading3Char">
    <w:name w:val="Heading 3 Char"/>
    <w:basedOn w:val="DefaultParagraphFont"/>
    <w:link w:val="Heading3"/>
    <w:uiPriority w:val="9"/>
    <w:rsid w:val="00142197"/>
    <w:rPr>
      <w:rFonts w:asciiTheme="majorHAnsi" w:eastAsiaTheme="majorEastAsia" w:hAnsiTheme="majorHAnsi" w:cstheme="majorBidi"/>
      <w:b/>
      <w:bCs/>
      <w:color w:val="404040" w:themeColor="text1" w:themeTint="BF"/>
      <w:sz w:val="22"/>
      <w:szCs w:val="22"/>
      <w:lang w:val="en-US"/>
    </w:rPr>
  </w:style>
  <w:style w:type="character" w:customStyle="1" w:styleId="Heading4Char">
    <w:name w:val="Heading 4 Char"/>
    <w:basedOn w:val="DefaultParagraphFont"/>
    <w:link w:val="Heading4"/>
    <w:uiPriority w:val="9"/>
    <w:rsid w:val="00142197"/>
    <w:rPr>
      <w:rFonts w:asciiTheme="majorHAnsi" w:eastAsiaTheme="majorEastAsia" w:hAnsiTheme="majorHAnsi" w:cstheme="majorBidi"/>
      <w:bCs/>
      <w:iCs/>
      <w:color w:val="404040" w:themeColor="text1" w:themeTint="BF"/>
      <w:sz w:val="22"/>
      <w:szCs w:val="22"/>
      <w:u w:val="single"/>
      <w:lang w:val="en-US"/>
    </w:rPr>
  </w:style>
  <w:style w:type="character" w:customStyle="1" w:styleId="Heading6Char">
    <w:name w:val="Heading 6 Char"/>
    <w:basedOn w:val="DefaultParagraphFont"/>
    <w:link w:val="Heading6"/>
    <w:uiPriority w:val="9"/>
    <w:rsid w:val="00142197"/>
    <w:rPr>
      <w:rFonts w:asciiTheme="majorHAnsi" w:eastAsiaTheme="majorEastAsia" w:hAnsiTheme="majorHAnsi" w:cstheme="majorBidi"/>
      <w:i/>
      <w:iCs/>
      <w:color w:val="404040" w:themeColor="text1" w:themeTint="BF"/>
      <w:sz w:val="22"/>
      <w:szCs w:val="22"/>
      <w:lang w:val="en-US"/>
    </w:rPr>
  </w:style>
  <w:style w:type="character" w:customStyle="1" w:styleId="Heading7Char">
    <w:name w:val="Heading 7 Char"/>
    <w:basedOn w:val="DefaultParagraphFont"/>
    <w:link w:val="Heading7"/>
    <w:uiPriority w:val="9"/>
    <w:semiHidden/>
    <w:rsid w:val="00142197"/>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semiHidden/>
    <w:rsid w:val="0014219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142197"/>
    <w:rPr>
      <w:rFonts w:asciiTheme="majorHAnsi" w:eastAsiaTheme="majorEastAsia" w:hAnsiTheme="majorHAnsi" w:cstheme="majorBidi"/>
      <w:i/>
      <w:iCs/>
      <w:color w:val="404040" w:themeColor="text1" w:themeTint="BF"/>
      <w:sz w:val="20"/>
      <w:szCs w:val="20"/>
      <w:lang w:val="en-US"/>
    </w:rPr>
  </w:style>
  <w:style w:type="character" w:styleId="CommentReference">
    <w:name w:val="annotation reference"/>
    <w:basedOn w:val="DefaultParagraphFont"/>
    <w:uiPriority w:val="99"/>
    <w:semiHidden/>
    <w:unhideWhenUsed/>
    <w:rsid w:val="00382745"/>
    <w:rPr>
      <w:sz w:val="16"/>
      <w:szCs w:val="16"/>
    </w:rPr>
  </w:style>
  <w:style w:type="paragraph" w:styleId="CommentText">
    <w:name w:val="annotation text"/>
    <w:basedOn w:val="Normal"/>
    <w:link w:val="CommentTextChar"/>
    <w:uiPriority w:val="99"/>
    <w:semiHidden/>
    <w:unhideWhenUsed/>
    <w:rsid w:val="00382745"/>
    <w:pPr>
      <w:spacing w:after="200"/>
    </w:pPr>
    <w:rPr>
      <w:lang w:val="en-US"/>
    </w:rPr>
  </w:style>
  <w:style w:type="character" w:customStyle="1" w:styleId="CommentTextChar">
    <w:name w:val="Comment Text Char"/>
    <w:basedOn w:val="DefaultParagraphFont"/>
    <w:link w:val="CommentText"/>
    <w:uiPriority w:val="99"/>
    <w:semiHidden/>
    <w:rsid w:val="00382745"/>
    <w:rPr>
      <w:lang w:val="en-US"/>
    </w:rPr>
  </w:style>
  <w:style w:type="paragraph" w:styleId="FootnoteText">
    <w:name w:val="footnote text"/>
    <w:basedOn w:val="Normal"/>
    <w:link w:val="FootnoteTextChar"/>
    <w:uiPriority w:val="99"/>
    <w:unhideWhenUsed/>
    <w:rsid w:val="00382745"/>
    <w:rPr>
      <w:lang w:val="en-US"/>
    </w:rPr>
  </w:style>
  <w:style w:type="character" w:customStyle="1" w:styleId="FootnoteTextChar">
    <w:name w:val="Footnote Text Char"/>
    <w:basedOn w:val="DefaultParagraphFont"/>
    <w:link w:val="FootnoteText"/>
    <w:uiPriority w:val="99"/>
    <w:rsid w:val="00382745"/>
    <w:rPr>
      <w:lang w:val="en-US"/>
    </w:rPr>
  </w:style>
  <w:style w:type="character" w:styleId="FootnoteReference">
    <w:name w:val="footnote reference"/>
    <w:basedOn w:val="DefaultParagraphFont"/>
    <w:uiPriority w:val="99"/>
    <w:unhideWhenUsed/>
    <w:rsid w:val="00382745"/>
    <w:rPr>
      <w:vertAlign w:val="superscript"/>
    </w:rPr>
  </w:style>
  <w:style w:type="table" w:customStyle="1" w:styleId="GridTable1Light1">
    <w:name w:val="Grid Table 1 Light1"/>
    <w:basedOn w:val="TableNormal"/>
    <w:uiPriority w:val="46"/>
    <w:rsid w:val="00382745"/>
    <w:rPr>
      <w:sz w:val="22"/>
      <w:szCs w:val="22"/>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827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2745"/>
    <w:rPr>
      <w:rFonts w:ascii="Times New Roman" w:hAnsi="Times New Roman" w:cs="Times New Roman"/>
      <w:sz w:val="18"/>
      <w:szCs w:val="18"/>
    </w:rPr>
  </w:style>
  <w:style w:type="table" w:styleId="TableGrid">
    <w:name w:val="Table Grid"/>
    <w:basedOn w:val="TableNormal"/>
    <w:uiPriority w:val="39"/>
    <w:rsid w:val="000C7F5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C7F50"/>
    <w:pPr>
      <w:spacing w:after="200"/>
    </w:pPr>
    <w:rPr>
      <w:b/>
      <w:bCs/>
      <w:color w:val="0D0D0D" w:themeColor="text1" w:themeTint="F2"/>
      <w:sz w:val="18"/>
      <w:szCs w:val="18"/>
      <w:lang w:val="en-US"/>
    </w:rPr>
  </w:style>
  <w:style w:type="paragraph" w:customStyle="1" w:styleId="Appendixstyle2">
    <w:name w:val="Appendix style 2"/>
    <w:basedOn w:val="Heading2"/>
    <w:link w:val="Appendixstyle2Char"/>
    <w:qFormat/>
    <w:rsid w:val="0052159F"/>
    <w:pPr>
      <w:numPr>
        <w:ilvl w:val="0"/>
        <w:numId w:val="5"/>
      </w:numPr>
      <w:jc w:val="both"/>
    </w:pPr>
  </w:style>
  <w:style w:type="character" w:customStyle="1" w:styleId="Appendixstyle2Char">
    <w:name w:val="Appendix style 2 Char"/>
    <w:basedOn w:val="Heading2Char"/>
    <w:link w:val="Appendixstyle2"/>
    <w:rsid w:val="0052159F"/>
    <w:rPr>
      <w:rFonts w:asciiTheme="majorHAnsi" w:eastAsiaTheme="majorEastAsia" w:hAnsiTheme="majorHAnsi" w:cstheme="majorBidi"/>
      <w:b/>
      <w:bCs/>
      <w:color w:val="404040" w:themeColor="text1" w:themeTint="BF"/>
      <w:sz w:val="26"/>
      <w:szCs w:val="26"/>
      <w:lang w:val="en-US"/>
    </w:rPr>
  </w:style>
  <w:style w:type="paragraph" w:styleId="CommentSubject">
    <w:name w:val="annotation subject"/>
    <w:basedOn w:val="CommentText"/>
    <w:next w:val="CommentText"/>
    <w:link w:val="CommentSubjectChar"/>
    <w:uiPriority w:val="99"/>
    <w:semiHidden/>
    <w:unhideWhenUsed/>
    <w:rsid w:val="00885643"/>
    <w:pPr>
      <w:spacing w:after="0"/>
    </w:pPr>
    <w:rPr>
      <w:b/>
      <w:bCs/>
      <w:sz w:val="20"/>
      <w:szCs w:val="20"/>
      <w:lang w:val="nl-NL"/>
    </w:rPr>
  </w:style>
  <w:style w:type="character" w:customStyle="1" w:styleId="CommentSubjectChar">
    <w:name w:val="Comment Subject Char"/>
    <w:basedOn w:val="CommentTextChar"/>
    <w:link w:val="CommentSubject"/>
    <w:uiPriority w:val="99"/>
    <w:semiHidden/>
    <w:rsid w:val="00885643"/>
    <w:rPr>
      <w:b/>
      <w:bCs/>
      <w:sz w:val="20"/>
      <w:szCs w:val="20"/>
      <w:lang w:val="en-US"/>
    </w:rPr>
  </w:style>
  <w:style w:type="paragraph" w:styleId="Footer">
    <w:name w:val="footer"/>
    <w:basedOn w:val="Normal"/>
    <w:link w:val="FooterChar"/>
    <w:uiPriority w:val="99"/>
    <w:unhideWhenUsed/>
    <w:rsid w:val="00885643"/>
    <w:pPr>
      <w:tabs>
        <w:tab w:val="center" w:pos="4536"/>
        <w:tab w:val="right" w:pos="9072"/>
      </w:tabs>
    </w:pPr>
  </w:style>
  <w:style w:type="character" w:customStyle="1" w:styleId="FooterChar">
    <w:name w:val="Footer Char"/>
    <w:basedOn w:val="DefaultParagraphFont"/>
    <w:link w:val="Footer"/>
    <w:uiPriority w:val="99"/>
    <w:rsid w:val="00885643"/>
  </w:style>
  <w:style w:type="character" w:styleId="PageNumber">
    <w:name w:val="page number"/>
    <w:basedOn w:val="DefaultParagraphFont"/>
    <w:uiPriority w:val="99"/>
    <w:semiHidden/>
    <w:unhideWhenUsed/>
    <w:rsid w:val="00885643"/>
  </w:style>
  <w:style w:type="paragraph" w:styleId="Revision">
    <w:name w:val="Revision"/>
    <w:hidden/>
    <w:uiPriority w:val="99"/>
    <w:semiHidden/>
    <w:rsid w:val="005F4054"/>
  </w:style>
  <w:style w:type="paragraph" w:customStyle="1" w:styleId="EndNoteBibliographyTitle">
    <w:name w:val="EndNote Bibliography Title"/>
    <w:basedOn w:val="Normal"/>
    <w:link w:val="EndNoteBibliographyTitleChar"/>
    <w:rsid w:val="005F4054"/>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5F4054"/>
    <w:rPr>
      <w:rFonts w:ascii="Calibri" w:hAnsi="Calibri" w:cs="Calibri"/>
      <w:lang w:val="en-US"/>
    </w:rPr>
  </w:style>
  <w:style w:type="paragraph" w:customStyle="1" w:styleId="EndNoteBibliography">
    <w:name w:val="EndNote Bibliography"/>
    <w:basedOn w:val="Normal"/>
    <w:link w:val="EndNoteBibliographyChar"/>
    <w:rsid w:val="005F4054"/>
    <w:rPr>
      <w:rFonts w:ascii="Calibri" w:hAnsi="Calibri" w:cs="Calibri"/>
      <w:lang w:val="en-US"/>
    </w:rPr>
  </w:style>
  <w:style w:type="character" w:customStyle="1" w:styleId="EndNoteBibliographyChar">
    <w:name w:val="EndNote Bibliography Char"/>
    <w:basedOn w:val="DefaultParagraphFont"/>
    <w:link w:val="EndNoteBibliography"/>
    <w:rsid w:val="005F4054"/>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ACB2-E396-43CB-BA2F-83F7B519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12022</Words>
  <Characters>66123</Characters>
  <Application>Microsoft Office Word</Application>
  <DocSecurity>0</DocSecurity>
  <Lines>551</Lines>
  <Paragraphs>155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Hoek</dc:creator>
  <cp:lastModifiedBy>J.M. Hoek</cp:lastModifiedBy>
  <cp:revision>2</cp:revision>
  <dcterms:created xsi:type="dcterms:W3CDTF">2020-01-14T15:57:00Z</dcterms:created>
  <dcterms:modified xsi:type="dcterms:W3CDTF">2020-01-14T15:57:00Z</dcterms:modified>
</cp:coreProperties>
</file>