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5" w:rsidRPr="00771756" w:rsidRDefault="009D7A05" w:rsidP="009D7A05">
      <w:pPr>
        <w:spacing w:after="0" w:line="240" w:lineRule="auto"/>
        <w:ind w:firstLine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Table</w:t>
      </w:r>
      <w:r w:rsidR="00DE097E">
        <w:rPr>
          <w:rFonts w:eastAsia="Times New Roman" w:cs="Times New Roman"/>
          <w:b/>
          <w:szCs w:val="24"/>
        </w:rPr>
        <w:t xml:space="preserve"> S</w:t>
      </w:r>
      <w:r w:rsidRPr="00771756">
        <w:rPr>
          <w:rFonts w:eastAsia="Times New Roman" w:cs="Times New Roman"/>
          <w:b/>
          <w:szCs w:val="24"/>
        </w:rPr>
        <w:t>1</w:t>
      </w:r>
      <w:r w:rsidRPr="0077175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Model selection table </w:t>
      </w:r>
      <w:r w:rsidRPr="00771756"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zCs w:val="24"/>
        </w:rPr>
        <w:t xml:space="preserve"> models determining factors influencing probability of success</w:t>
      </w:r>
      <w:r w:rsidRPr="0077175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for African penguins performing benthic and pelagic dives. Colony (St. Croix or Bird Island), Type (benthic or pelagic) and Sex (male or female) represented as “C”, “T” and “S”, respectively. “:” indicating interaction term between parameters. </w:t>
      </w:r>
    </w:p>
    <w:p w:rsidR="00E129BE" w:rsidRDefault="00E129BE">
      <w:bookmarkStart w:id="0" w:name="_GoBack"/>
      <w:bookmarkEnd w:id="0"/>
    </w:p>
    <w:tbl>
      <w:tblPr>
        <w:tblW w:w="85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960"/>
        <w:gridCol w:w="960"/>
        <w:gridCol w:w="960"/>
        <w:gridCol w:w="960"/>
        <w:gridCol w:w="960"/>
      </w:tblGrid>
      <w:tr w:rsidR="00E129BE" w:rsidRPr="00A86C71" w:rsidTr="006C7F16">
        <w:trPr>
          <w:trHeight w:val="435"/>
        </w:trPr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</w:rPr>
              <w:t xml:space="preserve">Retained variables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86C71">
              <w:rPr>
                <w:rFonts w:eastAsia="Times New Roman" w:cs="Times New Roman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86C71">
              <w:rPr>
                <w:rFonts w:eastAsia="Times New Roman" w:cs="Times New Roman"/>
                <w:szCs w:val="24"/>
                <w:lang w:val="en-US"/>
              </w:rPr>
              <w:t>logLik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AICc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5054D1">
              <w:rPr>
                <w:rFonts w:cs="Times New Roman"/>
                <w:szCs w:val="24"/>
              </w:rPr>
              <w:t>Δ</w:t>
            </w:r>
            <w:r w:rsidRPr="00A86C71">
              <w:rPr>
                <w:rFonts w:eastAsia="Times New Roman" w:cs="Times New Roman"/>
                <w:szCs w:val="24"/>
                <w:lang w:val="en-US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weight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</w:rPr>
              <w:t>C, S, T, C:S, C:T, S:T, C:S:T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-3813.2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7644.5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0.22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C,T,C:T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-3817.4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7644.8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0.29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0.19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C, S, T, C:T, S:T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-3815.6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7645.1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0.63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0.16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C, S, T, C:S, C:T, S:T 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-3815.0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7646.1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1.55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0.10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C, S, T, C:T 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-3817.2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7646.4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1.90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0.08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-3820.2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7646.5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1.98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0.08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S, T, S:T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-3818.7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7647.5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2.95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0.05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auto" w:fill="auto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C, S, T, C:S, C:T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-3816.8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7647.6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3.09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0.05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S, 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-3820.0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7648.1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3.56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 xml:space="preserve">0.04 </w:t>
            </w:r>
          </w:p>
        </w:tc>
      </w:tr>
      <w:tr w:rsidR="00E129BE" w:rsidRPr="00A86C71" w:rsidTr="006C7F16">
        <w:trPr>
          <w:trHeight w:val="330"/>
        </w:trPr>
        <w:tc>
          <w:tcPr>
            <w:tcW w:w="374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C, T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-3820.2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7648.3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3.79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129BE" w:rsidRPr="00A86C71" w:rsidRDefault="00E129BE" w:rsidP="006C7F16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 w:rsidRPr="00A86C71">
              <w:rPr>
                <w:rFonts w:eastAsia="Times New Roman" w:cs="Times New Roman"/>
                <w:szCs w:val="24"/>
                <w:lang w:val="en-US"/>
              </w:rPr>
              <w:t>0.03</w:t>
            </w:r>
          </w:p>
        </w:tc>
      </w:tr>
    </w:tbl>
    <w:p w:rsidR="008A218E" w:rsidRDefault="008A218E"/>
    <w:sectPr w:rsidR="008A2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5"/>
    <w:rsid w:val="001F033E"/>
    <w:rsid w:val="002F31F8"/>
    <w:rsid w:val="008A218E"/>
    <w:rsid w:val="009D7A05"/>
    <w:rsid w:val="00DE097E"/>
    <w:rsid w:val="00E129BE"/>
    <w:rsid w:val="00F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C22C"/>
  <w15:chartTrackingRefBased/>
  <w15:docId w15:val="{521779C8-D9AE-4A8B-BD7E-E523199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per writing"/>
    <w:qFormat/>
    <w:rsid w:val="009D7A05"/>
    <w:pPr>
      <w:spacing w:line="480" w:lineRule="auto"/>
      <w:ind w:firstLine="284"/>
      <w:contextualSpacing/>
    </w:pPr>
    <w:rPr>
      <w:rFonts w:ascii="Times New Roman" w:hAnsi="Times New Roman"/>
      <w:sz w:val="24"/>
      <w:lang w:val="en-AU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1F033E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headings"/>
    <w:basedOn w:val="Normal"/>
    <w:next w:val="Normal"/>
    <w:link w:val="Heading2Char"/>
    <w:autoRedefine/>
    <w:uiPriority w:val="9"/>
    <w:unhideWhenUsed/>
    <w:qFormat/>
    <w:rsid w:val="001F033E"/>
    <w:pPr>
      <w:keepNext/>
      <w:keepLines/>
      <w:spacing w:before="40" w:after="0"/>
      <w:ind w:firstLin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1F033E"/>
    <w:rPr>
      <w:rFonts w:ascii="Times New Roman" w:eastAsiaTheme="majorEastAsia" w:hAnsi="Times New Roman" w:cstheme="majorBidi"/>
      <w:b/>
      <w:sz w:val="24"/>
      <w:szCs w:val="32"/>
      <w:lang w:val="en-AU"/>
    </w:rPr>
  </w:style>
  <w:style w:type="character" w:customStyle="1" w:styleId="Heading2Char">
    <w:name w:val="Heading 2 Char"/>
    <w:aliases w:val="Subheadings Char"/>
    <w:basedOn w:val="DefaultParagraphFont"/>
    <w:link w:val="Heading2"/>
    <w:uiPriority w:val="9"/>
    <w:rsid w:val="001F033E"/>
    <w:rPr>
      <w:rFonts w:ascii="Times New Roman" w:eastAsiaTheme="majorEastAsia" w:hAnsi="Times New Roman" w:cstheme="majorBidi"/>
      <w:i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gsutton</dc:creator>
  <cp:keywords/>
  <dc:description/>
  <cp:lastModifiedBy>gsutton</cp:lastModifiedBy>
  <cp:revision>3</cp:revision>
  <dcterms:created xsi:type="dcterms:W3CDTF">2020-04-28T05:04:00Z</dcterms:created>
  <dcterms:modified xsi:type="dcterms:W3CDTF">2020-04-28T05:30:00Z</dcterms:modified>
</cp:coreProperties>
</file>