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84" w:rsidRPr="00561B84" w:rsidRDefault="00561B84" w:rsidP="00561B84">
      <w:pPr>
        <w:rPr>
          <w:rFonts w:ascii="Times New Roman" w:hAnsi="Times New Roman" w:cs="Times New Roman"/>
          <w:sz w:val="24"/>
          <w:szCs w:val="24"/>
        </w:rPr>
      </w:pPr>
      <w:r w:rsidRPr="00561B84">
        <w:rPr>
          <w:rFonts w:ascii="Times New Roman" w:hAnsi="Times New Roman" w:cs="Times New Roman"/>
          <w:sz w:val="24"/>
          <w:szCs w:val="24"/>
        </w:rPr>
        <w:t>Table S1 Specific search terms</w:t>
      </w:r>
      <w:r>
        <w:rPr>
          <w:rFonts w:ascii="Times New Roman" w:hAnsi="Times New Roman" w:cs="Times New Roman"/>
          <w:sz w:val="24"/>
          <w:szCs w:val="24"/>
        </w:rPr>
        <w:t xml:space="preserve"> for the r</w:t>
      </w:r>
      <w:r w:rsidRPr="00561B84">
        <w:rPr>
          <w:rFonts w:ascii="Times New Roman" w:hAnsi="Times New Roman" w:cs="Times New Roman"/>
          <w:sz w:val="24"/>
          <w:szCs w:val="24"/>
        </w:rPr>
        <w:t>eview section</w:t>
      </w:r>
      <w:r>
        <w:rPr>
          <w:rFonts w:ascii="Times New Roman" w:hAnsi="Times New Roman" w:cs="Times New Roman"/>
          <w:sz w:val="24"/>
          <w:szCs w:val="24"/>
        </w:rPr>
        <w:t>s and number of total and selected articles.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4979"/>
        <w:gridCol w:w="1014"/>
        <w:gridCol w:w="1054"/>
      </w:tblGrid>
      <w:tr w:rsidR="00561B84" w:rsidRPr="00561B84" w:rsidTr="00561B84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b/>
                <w:sz w:val="24"/>
                <w:szCs w:val="24"/>
              </w:rPr>
              <w:t>Review section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b/>
                <w:sz w:val="24"/>
                <w:szCs w:val="24"/>
              </w:rPr>
              <w:t>Specific search terms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articles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b/>
                <w:sz w:val="24"/>
                <w:szCs w:val="24"/>
              </w:rPr>
              <w:t>Number of selected articles</w:t>
            </w:r>
          </w:p>
        </w:tc>
      </w:tr>
      <w:tr w:rsidR="00561B84" w:rsidRPr="00561B84" w:rsidTr="00561B84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Main features of the antioxidant system components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catalase, glutathione peroxidase, ascorbate peroxidase, superoxide dismutase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ascorbate-glutathione cycle, 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monodehydroascorbate</w:t>
            </w:r>
            <w:proofErr w:type="spell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reductase, 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dehydroascorbate</w:t>
            </w:r>
            <w:proofErr w:type="spell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reductase, glutathione reductase, ascorbate, glutathione, glutathione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disulfide, reaction mechanism, enzyme kinetic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61B84" w:rsidRPr="00561B84" w:rsidTr="00561B84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Experimental data concerning the antioxidant system components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experimental measurement, 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parameters, quantification, concentration, reaction rate, dynamics, biochemical methods, stress response, ascorbate content, glutathione content, stress tolerance, drought stress, salt stress, cold stress, abiotic, biotic, regulation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B84" w:rsidRPr="00561B84" w:rsidTr="00561B84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Stress-response of the antioxidant system components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signaling pathway, hormones, regulators, inductors, activity, abiotic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ess, biotic stress, regulation, 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stress combination effect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1B84" w:rsidRPr="00561B84" w:rsidTr="00561B84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Subcellular compartmentalization of the antioxidant system components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compartmentalization, 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chloroplastic</w:t>
            </w:r>
            <w:proofErr w:type="spell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, mitochondrial, 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peroxisomal</w:t>
            </w:r>
            <w:proofErr w:type="spell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, subcellu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 distribution, 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chloroplast redox status, electron transport chain,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vacuole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1B84" w:rsidRPr="00561B84" w:rsidTr="00561B84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Modeling approaches to study the antioxidant system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ascorbate-glutathione cycle models, 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loroplastic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antioxidant models, 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mathematical models, computational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B84" w:rsidRPr="00561B84" w:rsidRDefault="00561B84" w:rsidP="0056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3ABA" w:rsidRPr="00561B84" w:rsidRDefault="00561B84" w:rsidP="0056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61B84">
        <w:rPr>
          <w:rFonts w:ascii="Times New Roman" w:hAnsi="Times New Roman" w:cs="Times New Roman"/>
          <w:sz w:val="24"/>
          <w:szCs w:val="24"/>
        </w:rPr>
        <w:t xml:space="preserve"> </w:t>
      </w:r>
      <w:r w:rsidRPr="00561B84">
        <w:rPr>
          <w:rFonts w:ascii="Times New Roman" w:hAnsi="Times New Roman" w:cs="Times New Roman"/>
          <w:sz w:val="24"/>
          <w:szCs w:val="24"/>
        </w:rPr>
        <w:t>Common search terms: antioxidant system, reactive oxygen species, plant</w:t>
      </w:r>
    </w:p>
    <w:sectPr w:rsidR="00F43ABA" w:rsidRPr="00561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84"/>
    <w:rsid w:val="00561B84"/>
    <w:rsid w:val="00F4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C2E9"/>
  <w15:chartTrackingRefBased/>
  <w15:docId w15:val="{5CAF4505-A9B8-4452-882C-0E8861F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Ulyanochka</dc:creator>
  <cp:keywords/>
  <dc:description/>
  <cp:lastModifiedBy>Ulyanochka</cp:lastModifiedBy>
  <cp:revision>1</cp:revision>
  <dcterms:created xsi:type="dcterms:W3CDTF">2020-04-08T08:56:00Z</dcterms:created>
  <dcterms:modified xsi:type="dcterms:W3CDTF">2020-04-08T09:02:00Z</dcterms:modified>
</cp:coreProperties>
</file>