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A" w:rsidRDefault="009B6F9A" w:rsidP="00A3332C">
      <w:bookmarkStart w:id="0" w:name="_GoBack"/>
      <w:bookmarkEnd w:id="0"/>
    </w:p>
    <w:tbl>
      <w:tblPr>
        <w:tblW w:w="15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080"/>
        <w:gridCol w:w="1170"/>
        <w:gridCol w:w="929"/>
        <w:gridCol w:w="890"/>
        <w:gridCol w:w="811"/>
        <w:gridCol w:w="900"/>
        <w:gridCol w:w="720"/>
        <w:gridCol w:w="810"/>
        <w:gridCol w:w="811"/>
        <w:gridCol w:w="809"/>
        <w:gridCol w:w="811"/>
        <w:gridCol w:w="989"/>
        <w:gridCol w:w="965"/>
        <w:gridCol w:w="934"/>
        <w:gridCol w:w="1018"/>
        <w:gridCol w:w="1018"/>
      </w:tblGrid>
      <w:tr w:rsidR="005E08BA" w:rsidRPr="00113FB8" w:rsidTr="00A3332C">
        <w:trPr>
          <w:trHeight w:hRule="exact" w:val="1123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7" w:firstLine="20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Family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1" w:right="107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Genus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Species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Continent/ Hemisphere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196" w:hanging="6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Maximum latitude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44" w:right="130" w:firstLine="72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Range size area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6" w:right="143" w:firstLine="1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Mean litter size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7" w:hanging="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Mean body mass (g)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02" w:right="100" w:hanging="190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Fossorial/ not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4" w:right="84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Desert/not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19" w:right="123" w:hanging="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high- elevation/ not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8" w:right="109" w:hanging="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Habitat specialist/ not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7" w:right="117" w:hanging="48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Commensal/not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right="298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Temporal size trend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Predictors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FB8">
              <w:rPr>
                <w:rFonts w:ascii="Arial" w:hAnsi="Arial" w:cs="Arial"/>
                <w:b/>
                <w:sz w:val="12"/>
                <w:szCs w:val="12"/>
              </w:rPr>
              <w:t>Time span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b/>
                <w:bCs/>
                <w:sz w:val="12"/>
                <w:szCs w:val="12"/>
              </w:rPr>
              <w:t>Reference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Abrothrix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04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longipilis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9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30.29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717952.11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36.7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11" w:firstLine="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Increased temperature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Abrothrix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olivaceus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9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18.39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1085022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10"/>
              <w:ind w:left="0"/>
              <w:jc w:val="center"/>
              <w:rPr>
                <w:sz w:val="12"/>
                <w:szCs w:val="12"/>
              </w:rPr>
            </w:pPr>
          </w:p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Abrothrix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04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sanborni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9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42.58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4530.491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ind w:left="0"/>
              <w:jc w:val="center"/>
              <w:rPr>
                <w:sz w:val="12"/>
                <w:szCs w:val="12"/>
              </w:rPr>
            </w:pPr>
          </w:p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2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57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Dicrostonyx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groenlandicus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83.63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2561987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1956-2015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i/>
                <w:iCs/>
                <w:sz w:val="12"/>
                <w:szCs w:val="12"/>
              </w:rPr>
              <w:t>Eothenomys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i/>
                <w:iCs/>
                <w:sz w:val="12"/>
                <w:szCs w:val="12"/>
              </w:rPr>
              <w:t>smithii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4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Asia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38.43963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145776.93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4.4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42.5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1920-1989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25" w:right="208" w:firstLine="3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Yom-Tov &amp; Yom-Tov 2004</w:t>
            </w:r>
          </w:p>
        </w:tc>
      </w:tr>
      <w:tr w:rsidR="005E08BA" w:rsidRPr="00113FB8" w:rsidTr="00A3332C">
        <w:trPr>
          <w:trHeight w:hRule="exact"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Lemmus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trimucronatus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74.56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5779510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1951-2015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agrestis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Mediterranea</w:t>
            </w:r>
            <w:proofErr w:type="spellEnd"/>
            <w:r w:rsidRPr="00113FB8">
              <w:rPr>
                <w:rFonts w:ascii="Arial" w:hAnsi="Arial" w:cs="Arial"/>
                <w:sz w:val="12"/>
                <w:szCs w:val="12"/>
              </w:rPr>
              <w:t>, Europe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71.1225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20524261.42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4.4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42.5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1895-2004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25" w:right="208" w:firstLine="3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Yom-Tov et al 2012</w:t>
            </w:r>
          </w:p>
        </w:tc>
      </w:tr>
      <w:tr w:rsidR="005E08BA" w:rsidRPr="00113FB8" w:rsidTr="00A3332C">
        <w:trPr>
          <w:trHeight w:hRule="exact" w:val="42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longicaudus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68.14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40214210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1956-2015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47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mexicanus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37.58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854502.16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42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miurus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70.89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1431571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1947-2015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84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oeconomus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65" w:right="149" w:firstLine="2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Europe, Asia, 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75.54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4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19507729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1947-2015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83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Microtus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pennsylvanicus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70.25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11963797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Unknown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1928-2015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69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lastRenderedPageBreak/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Myodes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gapperi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62.43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8370580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9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1932-2015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42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Neotoma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albigula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39.12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845054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2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Climate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8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Smith et al. 1998</w:t>
            </w:r>
          </w:p>
        </w:tc>
      </w:tr>
      <w:tr w:rsidR="005E08BA" w:rsidRPr="00113FB8" w:rsidTr="00A3332C">
        <w:trPr>
          <w:trHeight w:hRule="exact" w:val="51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Peromyscus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4" w:right="103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leucopus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51.13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5831155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1929-2015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Peromyscus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maniculatus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65.65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13316662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1932-2015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699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Reithrodontomys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megalotis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50.61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5116675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1956-2016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right="218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Cricetidae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Sigmodon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hispidus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40.94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2615709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1933-2015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36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Dipodidae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Napaeozapus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33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insignis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54.23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2009949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1937-2013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236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Dipodidae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Zapus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61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hudsonius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65.03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8737705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1933-2015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right="20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Geomyidae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Thomomys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bottae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42.96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1541296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1956-2016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Geomyidae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Thomomys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7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umbrinus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32.86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469421.35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Heteromyidae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Chaetodipus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fallax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34.36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46906.768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100+year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right="133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Heteromyidae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Dipodomys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02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merriami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40.39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1423668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1989-1996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Koontz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2001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Apodemus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61"/>
              <w:rPr>
                <w:i/>
                <w:iCs/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flavicollis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Mediterranea</w:t>
            </w:r>
            <w:proofErr w:type="spellEnd"/>
            <w:r w:rsidRPr="00113FB8">
              <w:rPr>
                <w:rFonts w:ascii="Arial" w:hAnsi="Arial" w:cs="Arial"/>
                <w:sz w:val="12"/>
                <w:szCs w:val="12"/>
              </w:rPr>
              <w:t>, Europe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64.03066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9591684.17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5.5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31.6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1895-2002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Yom-Tov et al 2012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i/>
                <w:iCs/>
                <w:sz w:val="12"/>
                <w:szCs w:val="12"/>
              </w:rPr>
              <w:t>Apodemus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i/>
                <w:iCs/>
                <w:sz w:val="12"/>
                <w:szCs w:val="12"/>
              </w:rPr>
              <w:t>speciosus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4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Asia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45.52314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467783.451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43.75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Warmer autumn, summer and winter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1949-1989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25" w:right="208" w:firstLine="3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Yom-Tov &amp; Yom-Tov 2004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Apodemus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sylvaticus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13FB8">
              <w:rPr>
                <w:rFonts w:ascii="Arial" w:hAnsi="Arial" w:cs="Arial"/>
                <w:sz w:val="12"/>
                <w:szCs w:val="12"/>
              </w:rPr>
              <w:t>Mediterranea</w:t>
            </w:r>
            <w:proofErr w:type="spellEnd"/>
            <w:r w:rsidRPr="00113FB8">
              <w:rPr>
                <w:rFonts w:ascii="Arial" w:hAnsi="Arial" w:cs="Arial"/>
                <w:sz w:val="12"/>
                <w:szCs w:val="12"/>
              </w:rPr>
              <w:t>, Europe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66.53463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7555528.104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39.4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1847-2002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Yom-Tov et al 2012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Desmodillus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61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auricularis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12.58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1955062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1903-1996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Gerbilliscus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3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leucogaster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4.92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57652391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0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72.2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1905-1997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Lophuromys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45"/>
              <w:jc w:val="right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flavopunctatus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4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9.95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4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1820851.7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12" w:firstLine="2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Increased temperature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Mastomys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62"/>
              <w:jc w:val="right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natalensis</w:t>
            </w:r>
            <w:proofErr w:type="spellEnd"/>
            <w:r w:rsidRPr="00113FB8">
              <w:rPr>
                <w:i/>
                <w:iCs/>
                <w:sz w:val="12"/>
                <w:szCs w:val="12"/>
              </w:rPr>
              <w:t xml:space="preserve"> (</w:t>
            </w:r>
            <w:proofErr w:type="spellStart"/>
            <w:r w:rsidRPr="00113FB8">
              <w:rPr>
                <w:i/>
                <w:iCs/>
                <w:sz w:val="12"/>
                <w:szCs w:val="12"/>
              </w:rPr>
              <w:t>sl</w:t>
            </w:r>
            <w:proofErr w:type="spellEnd"/>
            <w:r w:rsidRPr="00113FB8">
              <w:rPr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16.91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16655238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3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  <w:r w:rsidRPr="00113FB8">
              <w:rPr>
                <w:w w:val="99"/>
                <w:sz w:val="12"/>
                <w:szCs w:val="12"/>
              </w:rPr>
              <w:t xml:space="preserve"> </w:t>
            </w:r>
            <w:r w:rsidRPr="00113FB8">
              <w:rPr>
                <w:sz w:val="12"/>
                <w:szCs w:val="12"/>
              </w:rPr>
              <w:t>(rainfall)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1907-2013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Micaelamys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78"/>
              <w:jc w:val="right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namaquensis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14.85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3338607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5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1906-2003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0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musculus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4" w:right="100" w:hanging="200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Cosmopoli</w:t>
            </w:r>
            <w:proofErr w:type="spellEnd"/>
            <w:r w:rsidRPr="00113FB8">
              <w:rPr>
                <w:sz w:val="12"/>
                <w:szCs w:val="12"/>
              </w:rPr>
              <w:t xml:space="preserve"> tan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73.53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15150382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1930-2015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Oligoryzomys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64"/>
              <w:jc w:val="right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longicaudatus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9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25.90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629012.30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5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7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unknown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12" w:firstLine="2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Increased temperature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13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angoniensis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1.02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595014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114.3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1906-2013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338" w:right="147" w:hanging="173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Nengovhela et al. 2015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33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auratus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18.04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519018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127.3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1906-2013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38" w:right="147" w:hanging="173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Nengovhela et al. 2015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35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unisulcatus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4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27.43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374311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124.5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Decrease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70" w:right="155" w:firstLine="52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Global warming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1903-1992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Parotomys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40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brantsii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23.44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679441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1902-1998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9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Current study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2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Phyllotis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193"/>
              <w:jc w:val="right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xanthopygus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319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SA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10.68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11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1499353.4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12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Praomys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jacksoni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4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11.11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11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3744033.0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37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Rattus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4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rattus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4" w:right="100" w:hanging="200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Cosmopoli</w:t>
            </w:r>
            <w:proofErr w:type="spellEnd"/>
            <w:r w:rsidRPr="00113FB8">
              <w:rPr>
                <w:w w:val="99"/>
                <w:sz w:val="12"/>
                <w:szCs w:val="12"/>
              </w:rPr>
              <w:t xml:space="preserve"> </w:t>
            </w:r>
            <w:r w:rsidRPr="00113FB8">
              <w:rPr>
                <w:sz w:val="12"/>
                <w:szCs w:val="12"/>
              </w:rPr>
              <w:t>tan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61.72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4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43666656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Island introduction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1940-2000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2015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Muridae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5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Rattus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90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tanezumi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83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Asia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45.61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11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9717373.2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42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5"/>
              <w:jc w:val="center"/>
              <w:rPr>
                <w:sz w:val="12"/>
                <w:szCs w:val="12"/>
              </w:rPr>
            </w:pPr>
            <w:r w:rsidRPr="00113FB8">
              <w:rPr>
                <w:w w:val="99"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549" w:right="100" w:hanging="435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Callospermophilus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28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lateralis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56.39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1704569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9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6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Temperature &amp; snow melt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1902-1950; 2000-2008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Eastman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2012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r w:rsidRPr="00113FB8">
              <w:rPr>
                <w:i/>
                <w:iCs/>
                <w:sz w:val="12"/>
                <w:szCs w:val="12"/>
              </w:rPr>
              <w:t>Marmota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51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flaviventris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51.13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1718209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22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4" w:right="191" w:firstLine="24"/>
              <w:jc w:val="both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Longer growing season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1976-2008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Ozgul</w:t>
            </w:r>
            <w:proofErr w:type="spellEnd"/>
            <w:r w:rsidRPr="00113FB8">
              <w:rPr>
                <w:sz w:val="12"/>
                <w:szCs w:val="12"/>
              </w:rPr>
              <w:t xml:space="preserve">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2010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Otospermophilus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95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beecheyi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8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46.93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8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467249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8" w:lineRule="exact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8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29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1902–1950;2000–2008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8" w:lineRule="exact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Eastman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8" w:lineRule="exact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2012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Sciurus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18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carolinensis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53.41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115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4083837.5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201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59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 w:line="137" w:lineRule="exact"/>
              <w:ind w:left="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0" w:right="171"/>
              <w:jc w:val="right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540.33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3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-20" w:firstLine="2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4" w:right="107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Tamias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40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striatus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51.67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4197494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77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years; 1925-2015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88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2009; </w:t>
            </w: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Tamiasciurus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0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hudsonicus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67.78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10363614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9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3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 response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3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1931-2016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87" w:right="172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Villar</w:t>
            </w:r>
            <w:proofErr w:type="spellEnd"/>
            <w:r w:rsidRPr="00113FB8">
              <w:rPr>
                <w:sz w:val="12"/>
                <w:szCs w:val="12"/>
              </w:rPr>
              <w:t xml:space="preserve"> &amp; </w:t>
            </w:r>
            <w:proofErr w:type="spellStart"/>
            <w:r w:rsidRPr="00113FB8">
              <w:rPr>
                <w:sz w:val="12"/>
                <w:szCs w:val="12"/>
              </w:rPr>
              <w:t>Naya</w:t>
            </w:r>
            <w:proofErr w:type="spellEnd"/>
            <w:r w:rsidRPr="00113FB8">
              <w:rPr>
                <w:sz w:val="12"/>
                <w:szCs w:val="12"/>
              </w:rPr>
              <w:t>, 2018</w:t>
            </w:r>
          </w:p>
        </w:tc>
      </w:tr>
      <w:tr w:rsidR="005E08BA" w:rsidRPr="00113FB8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Sciuridae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Urocitellus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28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beldingi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316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3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45.91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337683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0" w:right="15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5.7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34" w:right="236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76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Temperature &amp; snow melt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1902-1950; 2000-2008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0"/>
              <w:ind w:left="82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Eastman et al.</w:t>
            </w:r>
          </w:p>
          <w:p w:rsidR="005E08BA" w:rsidRPr="00113FB8" w:rsidRDefault="005E08BA" w:rsidP="00A3332C">
            <w:pPr>
              <w:pStyle w:val="TableParagraph"/>
              <w:overflowPunct w:val="0"/>
              <w:ind w:left="83" w:right="81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2012</w:t>
            </w:r>
          </w:p>
        </w:tc>
      </w:tr>
      <w:tr w:rsidR="005E08BA" w:rsidRPr="00E46FA4" w:rsidTr="00A3332C">
        <w:trPr>
          <w:trHeight w:hRule="exact" w:val="70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Spalacidae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06"/>
              <w:jc w:val="center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Tachyoryctes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61"/>
              <w:rPr>
                <w:sz w:val="12"/>
                <w:szCs w:val="12"/>
              </w:rPr>
            </w:pPr>
            <w:proofErr w:type="spellStart"/>
            <w:r w:rsidRPr="00113FB8">
              <w:rPr>
                <w:i/>
                <w:iCs/>
                <w:sz w:val="12"/>
                <w:szCs w:val="12"/>
              </w:rPr>
              <w:t>splendens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44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Africa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14.59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83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680054.69</w:t>
            </w:r>
          </w:p>
          <w:p w:rsidR="005E08BA" w:rsidRPr="00113FB8" w:rsidRDefault="005E08BA" w:rsidP="00A3332C">
            <w:pPr>
              <w:pStyle w:val="TableParagraph"/>
              <w:overflowPunct w:val="0"/>
              <w:spacing w:before="0" w:line="137" w:lineRule="exact"/>
              <w:ind w:left="79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2 km2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 w:line="137" w:lineRule="exact"/>
              <w:ind w:left="0" w:right="9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1.65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0" w:right="205"/>
              <w:jc w:val="right"/>
              <w:rPr>
                <w:sz w:val="12"/>
                <w:szCs w:val="12"/>
              </w:rPr>
            </w:pPr>
            <w:r w:rsidRPr="00113FB8">
              <w:rPr>
                <w:w w:val="95"/>
                <w:sz w:val="12"/>
                <w:szCs w:val="12"/>
              </w:rPr>
              <w:t>265.7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274" w:right="278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78" w:right="83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1" w:right="84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85" w:right="87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Yes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30" w:right="130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113FB8" w:rsidRDefault="005E08BA" w:rsidP="00A3332C">
            <w:pPr>
              <w:pStyle w:val="TableParagraph"/>
              <w:overflowPunct w:val="0"/>
              <w:spacing w:before="2"/>
              <w:ind w:left="105" w:right="111" w:firstLine="2"/>
              <w:jc w:val="center"/>
              <w:rPr>
                <w:sz w:val="12"/>
                <w:szCs w:val="12"/>
              </w:rPr>
            </w:pPr>
            <w:r w:rsidRPr="00113FB8">
              <w:rPr>
                <w:sz w:val="12"/>
                <w:szCs w:val="12"/>
              </w:rPr>
              <w:t>Increased temperature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BA" w:rsidRPr="00113FB8" w:rsidRDefault="005E08BA" w:rsidP="00A333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FB8">
              <w:rPr>
                <w:rFonts w:ascii="Arial" w:hAnsi="Arial" w:cs="Arial"/>
                <w:sz w:val="12"/>
                <w:szCs w:val="12"/>
              </w:rPr>
              <w:t>100+ years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8BA" w:rsidRPr="00E46FA4" w:rsidRDefault="005E08BA" w:rsidP="00A3332C">
            <w:pPr>
              <w:pStyle w:val="TableParagraph"/>
              <w:overflowPunct w:val="0"/>
              <w:spacing w:before="2"/>
              <w:ind w:left="225" w:right="208" w:firstLine="31"/>
              <w:rPr>
                <w:sz w:val="12"/>
                <w:szCs w:val="12"/>
              </w:rPr>
            </w:pPr>
            <w:proofErr w:type="spellStart"/>
            <w:r w:rsidRPr="00113FB8">
              <w:rPr>
                <w:sz w:val="12"/>
                <w:szCs w:val="12"/>
              </w:rPr>
              <w:t>Pergams</w:t>
            </w:r>
            <w:proofErr w:type="spellEnd"/>
            <w:r w:rsidRPr="00113FB8">
              <w:rPr>
                <w:sz w:val="12"/>
                <w:szCs w:val="12"/>
              </w:rPr>
              <w:t xml:space="preserve"> &amp; Lawler 2009</w:t>
            </w:r>
          </w:p>
        </w:tc>
      </w:tr>
    </w:tbl>
    <w:p w:rsidR="009B6F9A" w:rsidRDefault="009B6F9A" w:rsidP="009B6F9A"/>
    <w:p w:rsidR="009B6F9A" w:rsidRDefault="009B6F9A" w:rsidP="009B6F9A"/>
    <w:p w:rsidR="00F160C9" w:rsidRDefault="00F160C9" w:rsidP="001D2D13">
      <w:pPr>
        <w:spacing w:line="480" w:lineRule="auto"/>
        <w:rPr>
          <w:rFonts w:ascii="Arial" w:hAnsi="Arial" w:cs="Arial"/>
          <w:b/>
        </w:rPr>
      </w:pPr>
    </w:p>
    <w:p w:rsidR="00F160C9" w:rsidRDefault="00F160C9" w:rsidP="001D2D13">
      <w:pPr>
        <w:spacing w:line="480" w:lineRule="auto"/>
        <w:rPr>
          <w:rFonts w:ascii="Arial" w:hAnsi="Arial" w:cs="Arial"/>
          <w:b/>
        </w:rPr>
      </w:pPr>
    </w:p>
    <w:p w:rsidR="00F160C9" w:rsidRDefault="00F160C9" w:rsidP="001D2D13">
      <w:pPr>
        <w:spacing w:line="480" w:lineRule="auto"/>
        <w:rPr>
          <w:rFonts w:ascii="Arial" w:hAnsi="Arial" w:cs="Arial"/>
          <w:b/>
        </w:rPr>
      </w:pPr>
    </w:p>
    <w:p w:rsidR="001D2D13" w:rsidRPr="00B67AB3" w:rsidRDefault="009B6F9A" w:rsidP="001D2D13">
      <w:pPr>
        <w:spacing w:line="480" w:lineRule="auto"/>
        <w:rPr>
          <w:rFonts w:ascii="Arial" w:hAnsi="Arial" w:cs="Arial"/>
          <w:b/>
        </w:rPr>
      </w:pPr>
      <w:r w:rsidRPr="00B67AB3">
        <w:rPr>
          <w:rFonts w:ascii="Arial" w:hAnsi="Arial" w:cs="Arial"/>
          <w:b/>
        </w:rPr>
        <w:t>References in Table: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r w:rsidRPr="001D2D13">
        <w:rPr>
          <w:rFonts w:ascii="Arial" w:hAnsi="Arial" w:cs="Arial"/>
        </w:rPr>
        <w:t>Eastman LM, Morelli TL, Rowe KC, Conroy CJ, Moritz C. 2012. Size increase in high elevation ground squirrels over the last century. Global Change Biology 18(5): 1499–1508 DOI 10.1111/j.1365-2486.2012.02644.x.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r w:rsidRPr="001D2D13">
        <w:rPr>
          <w:rFonts w:ascii="Arial" w:hAnsi="Arial" w:cs="Arial"/>
        </w:rPr>
        <w:t xml:space="preserve">Koontz TL, Shepherd UL, Marshall D. 2001. The effects of climate change on Merriam’s kangaroo rat, </w:t>
      </w:r>
      <w:proofErr w:type="spellStart"/>
      <w:r w:rsidRPr="001D2D13">
        <w:rPr>
          <w:rFonts w:ascii="Arial" w:hAnsi="Arial" w:cs="Arial"/>
          <w:i/>
        </w:rPr>
        <w:t>Dipodomys</w:t>
      </w:r>
      <w:proofErr w:type="spellEnd"/>
      <w:r w:rsidRPr="001D2D13">
        <w:rPr>
          <w:rFonts w:ascii="Arial" w:hAnsi="Arial" w:cs="Arial"/>
          <w:i/>
        </w:rPr>
        <w:t xml:space="preserve"> </w:t>
      </w:r>
      <w:proofErr w:type="spellStart"/>
      <w:r w:rsidRPr="001D2D13">
        <w:rPr>
          <w:rFonts w:ascii="Arial" w:hAnsi="Arial" w:cs="Arial"/>
          <w:i/>
        </w:rPr>
        <w:t>merriami</w:t>
      </w:r>
      <w:proofErr w:type="spellEnd"/>
      <w:r w:rsidRPr="001D2D13">
        <w:rPr>
          <w:rFonts w:ascii="Arial" w:hAnsi="Arial" w:cs="Arial"/>
        </w:rPr>
        <w:t>. Journal of Ar</w:t>
      </w:r>
      <w:r>
        <w:rPr>
          <w:rFonts w:ascii="Arial" w:hAnsi="Arial" w:cs="Arial"/>
        </w:rPr>
        <w:t xml:space="preserve">id Environments 49(3): 581-591 </w:t>
      </w:r>
      <w:r w:rsidRPr="001D2D13">
        <w:rPr>
          <w:rFonts w:ascii="Arial" w:hAnsi="Arial" w:cs="Arial"/>
        </w:rPr>
        <w:t>DOI 10.1006/jare.2001.0806.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r w:rsidRPr="001D2D13">
        <w:rPr>
          <w:rFonts w:ascii="Arial" w:hAnsi="Arial" w:cs="Arial"/>
        </w:rPr>
        <w:t xml:space="preserve">Nengovhela A, Baxter RM, Taylor PJ. 2015. Temporal changes in cranial size in South African </w:t>
      </w:r>
      <w:proofErr w:type="spellStart"/>
      <w:r w:rsidRPr="001D2D13">
        <w:rPr>
          <w:rFonts w:ascii="Arial" w:hAnsi="Arial" w:cs="Arial"/>
        </w:rPr>
        <w:t>vlei</w:t>
      </w:r>
      <w:proofErr w:type="spellEnd"/>
      <w:r w:rsidRPr="001D2D13">
        <w:rPr>
          <w:rFonts w:ascii="Arial" w:hAnsi="Arial" w:cs="Arial"/>
        </w:rPr>
        <w:t xml:space="preserve"> rats (</w:t>
      </w:r>
      <w:proofErr w:type="spellStart"/>
      <w:r w:rsidRPr="001D2D13">
        <w:rPr>
          <w:rFonts w:ascii="Arial" w:hAnsi="Arial" w:cs="Arial"/>
          <w:i/>
        </w:rPr>
        <w:t>Otomys</w:t>
      </w:r>
      <w:proofErr w:type="spellEnd"/>
      <w:r w:rsidRPr="001D2D13">
        <w:rPr>
          <w:rFonts w:ascii="Arial" w:hAnsi="Arial" w:cs="Arial"/>
        </w:rPr>
        <w:t>): evidence for the “third universal response to warming.” African Zoology 50(3): 233–239 DOI 10.1080/15627020.2015.1052014.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1D2D13">
        <w:rPr>
          <w:rFonts w:ascii="Arial" w:hAnsi="Arial" w:cs="Arial"/>
        </w:rPr>
        <w:t>Ozgul</w:t>
      </w:r>
      <w:proofErr w:type="spellEnd"/>
      <w:r w:rsidRPr="001D2D13">
        <w:rPr>
          <w:rFonts w:ascii="Arial" w:hAnsi="Arial" w:cs="Arial"/>
        </w:rPr>
        <w:t xml:space="preserve"> A, Childs DZ, </w:t>
      </w:r>
      <w:proofErr w:type="spellStart"/>
      <w:r w:rsidRPr="001D2D13">
        <w:rPr>
          <w:rFonts w:ascii="Arial" w:hAnsi="Arial" w:cs="Arial"/>
        </w:rPr>
        <w:t>Oli</w:t>
      </w:r>
      <w:proofErr w:type="spellEnd"/>
      <w:r w:rsidRPr="001D2D13">
        <w:rPr>
          <w:rFonts w:ascii="Arial" w:hAnsi="Arial" w:cs="Arial"/>
        </w:rPr>
        <w:t xml:space="preserve"> MK, Armitage KB, Blumstein DT, Olson LE, </w:t>
      </w:r>
      <w:proofErr w:type="spellStart"/>
      <w:r w:rsidRPr="001D2D13">
        <w:rPr>
          <w:rFonts w:ascii="Arial" w:hAnsi="Arial" w:cs="Arial"/>
        </w:rPr>
        <w:t>Tuljapurkar</w:t>
      </w:r>
      <w:proofErr w:type="spellEnd"/>
      <w:r w:rsidRPr="001D2D13">
        <w:rPr>
          <w:rFonts w:ascii="Arial" w:hAnsi="Arial" w:cs="Arial"/>
        </w:rPr>
        <w:t xml:space="preserve"> S, Coulson T. 2010. Coupled dynamics of body mass and population growth in response to environmental change. Nature 466(7305): 482–485 DOI 10.1038/nature09210.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1D2D13">
        <w:rPr>
          <w:rFonts w:ascii="Arial" w:hAnsi="Arial" w:cs="Arial"/>
        </w:rPr>
        <w:t>Pergams</w:t>
      </w:r>
      <w:proofErr w:type="spellEnd"/>
      <w:r w:rsidRPr="001D2D13">
        <w:rPr>
          <w:rFonts w:ascii="Arial" w:hAnsi="Arial" w:cs="Arial"/>
        </w:rPr>
        <w:t xml:space="preserve"> ORW, </w:t>
      </w:r>
      <w:proofErr w:type="spellStart"/>
      <w:r w:rsidRPr="001D2D13">
        <w:rPr>
          <w:rFonts w:ascii="Arial" w:hAnsi="Arial" w:cs="Arial"/>
        </w:rPr>
        <w:t>Byrn</w:t>
      </w:r>
      <w:proofErr w:type="spellEnd"/>
      <w:r w:rsidRPr="001D2D13">
        <w:rPr>
          <w:rFonts w:ascii="Arial" w:hAnsi="Arial" w:cs="Arial"/>
        </w:rPr>
        <w:t xml:space="preserve"> D, Lee KLY, Jackson R. 2015. Rapid morphological change in black rats (</w:t>
      </w:r>
      <w:proofErr w:type="spellStart"/>
      <w:r w:rsidRPr="00B67AB3">
        <w:rPr>
          <w:rFonts w:ascii="Arial" w:hAnsi="Arial" w:cs="Arial"/>
          <w:i/>
        </w:rPr>
        <w:t>Rattus</w:t>
      </w:r>
      <w:proofErr w:type="spellEnd"/>
      <w:r w:rsidRPr="00B67AB3">
        <w:rPr>
          <w:rFonts w:ascii="Arial" w:hAnsi="Arial" w:cs="Arial"/>
          <w:i/>
        </w:rPr>
        <w:t xml:space="preserve"> </w:t>
      </w:r>
      <w:proofErr w:type="spellStart"/>
      <w:r w:rsidRPr="00B67AB3">
        <w:rPr>
          <w:rFonts w:ascii="Arial" w:hAnsi="Arial" w:cs="Arial"/>
          <w:i/>
        </w:rPr>
        <w:t>rattus</w:t>
      </w:r>
      <w:proofErr w:type="spellEnd"/>
      <w:r w:rsidRPr="001D2D13">
        <w:rPr>
          <w:rFonts w:ascii="Arial" w:hAnsi="Arial" w:cs="Arial"/>
        </w:rPr>
        <w:t xml:space="preserve">) after an island introduction. </w:t>
      </w:r>
      <w:proofErr w:type="spellStart"/>
      <w:r w:rsidRPr="001D2D13">
        <w:rPr>
          <w:rFonts w:ascii="Arial" w:hAnsi="Arial" w:cs="Arial"/>
        </w:rPr>
        <w:t>PeerJ</w:t>
      </w:r>
      <w:proofErr w:type="spellEnd"/>
      <w:r w:rsidRPr="001D2D13">
        <w:rPr>
          <w:rFonts w:ascii="Arial" w:hAnsi="Arial" w:cs="Arial"/>
        </w:rPr>
        <w:t xml:space="preserve"> 3: e812 DOI 10.7717/peerj.812.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1D2D13">
        <w:rPr>
          <w:rFonts w:ascii="Arial" w:hAnsi="Arial" w:cs="Arial"/>
        </w:rPr>
        <w:t>Pergams</w:t>
      </w:r>
      <w:proofErr w:type="spellEnd"/>
      <w:r w:rsidRPr="001D2D13">
        <w:rPr>
          <w:rFonts w:ascii="Arial" w:hAnsi="Arial" w:cs="Arial"/>
        </w:rPr>
        <w:t xml:space="preserve"> ORW, Lawler JJ. 2009. Recent and widespread rapid morphological change in rodents. PLOS ONE 4(7): e6452.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r w:rsidRPr="001D2D13">
        <w:rPr>
          <w:rFonts w:ascii="Arial" w:hAnsi="Arial" w:cs="Arial"/>
        </w:rPr>
        <w:t xml:space="preserve">Smith FA, Browning H, Shepherd UL. 1998. The influence of climate change on the body mass of woodrats </w:t>
      </w:r>
      <w:proofErr w:type="spellStart"/>
      <w:r w:rsidRPr="00B67AB3">
        <w:rPr>
          <w:rFonts w:ascii="Arial" w:hAnsi="Arial" w:cs="Arial"/>
          <w:i/>
        </w:rPr>
        <w:t>Neotoma</w:t>
      </w:r>
      <w:proofErr w:type="spellEnd"/>
      <w:r w:rsidRPr="001D2D13">
        <w:rPr>
          <w:rFonts w:ascii="Arial" w:hAnsi="Arial" w:cs="Arial"/>
        </w:rPr>
        <w:t xml:space="preserve"> in an arid region of New Mexico, USA. </w:t>
      </w:r>
      <w:proofErr w:type="spellStart"/>
      <w:r w:rsidRPr="001D2D13">
        <w:rPr>
          <w:rFonts w:ascii="Arial" w:hAnsi="Arial" w:cs="Arial"/>
        </w:rPr>
        <w:t>Ecography</w:t>
      </w:r>
      <w:proofErr w:type="spellEnd"/>
      <w:r w:rsidRPr="001D2D13">
        <w:rPr>
          <w:rFonts w:ascii="Arial" w:hAnsi="Arial" w:cs="Arial"/>
        </w:rPr>
        <w:t xml:space="preserve"> 21(2): 140–14</w:t>
      </w:r>
      <w:r>
        <w:rPr>
          <w:rFonts w:ascii="Arial" w:hAnsi="Arial" w:cs="Arial"/>
        </w:rPr>
        <w:t xml:space="preserve">8 </w:t>
      </w:r>
      <w:r w:rsidRPr="001D2D13">
        <w:rPr>
          <w:rFonts w:ascii="Arial" w:hAnsi="Arial" w:cs="Arial"/>
        </w:rPr>
        <w:t>DOI 10.1111/j.1600-0587.1998.tb00668.x.</w:t>
      </w:r>
    </w:p>
    <w:p w:rsidR="001D2D13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proofErr w:type="spellStart"/>
      <w:r w:rsidRPr="001D2D13">
        <w:rPr>
          <w:rFonts w:ascii="Arial" w:hAnsi="Arial" w:cs="Arial"/>
        </w:rPr>
        <w:t>Villar</w:t>
      </w:r>
      <w:proofErr w:type="spellEnd"/>
      <w:r w:rsidRPr="001D2D13">
        <w:rPr>
          <w:rFonts w:ascii="Arial" w:hAnsi="Arial" w:cs="Arial"/>
        </w:rPr>
        <w:t xml:space="preserve"> CH, </w:t>
      </w:r>
      <w:proofErr w:type="spellStart"/>
      <w:r w:rsidRPr="001D2D13">
        <w:rPr>
          <w:rFonts w:ascii="Arial" w:hAnsi="Arial" w:cs="Arial"/>
        </w:rPr>
        <w:t>Naya</w:t>
      </w:r>
      <w:proofErr w:type="spellEnd"/>
      <w:r w:rsidRPr="001D2D13">
        <w:rPr>
          <w:rFonts w:ascii="Arial" w:hAnsi="Arial" w:cs="Arial"/>
        </w:rPr>
        <w:t xml:space="preserve"> DE. 2018. Climate change and temporal trends in body size: the case of rodents. </w:t>
      </w:r>
      <w:proofErr w:type="spellStart"/>
      <w:r w:rsidRPr="001D2D13">
        <w:rPr>
          <w:rFonts w:ascii="Arial" w:hAnsi="Arial" w:cs="Arial"/>
        </w:rPr>
        <w:t>Oikos</w:t>
      </w:r>
      <w:proofErr w:type="spellEnd"/>
      <w:r w:rsidRPr="001D2D13">
        <w:rPr>
          <w:rFonts w:ascii="Arial" w:hAnsi="Arial" w:cs="Arial"/>
        </w:rPr>
        <w:t xml:space="preserve"> 127(8): 1</w:t>
      </w:r>
      <w:r>
        <w:rPr>
          <w:rFonts w:ascii="Arial" w:hAnsi="Arial" w:cs="Arial"/>
        </w:rPr>
        <w:t>186–1194 DOI 10.1111/oik.04884.</w:t>
      </w:r>
    </w:p>
    <w:p w:rsidR="001D2D13" w:rsidRPr="00D75758" w:rsidRDefault="001D2D13" w:rsidP="00A42A03">
      <w:pPr>
        <w:spacing w:line="480" w:lineRule="auto"/>
        <w:ind w:left="720" w:hanging="720"/>
        <w:rPr>
          <w:rFonts w:ascii="Arial" w:hAnsi="Arial" w:cs="Arial"/>
        </w:rPr>
      </w:pPr>
      <w:r w:rsidRPr="001D2D13">
        <w:rPr>
          <w:rFonts w:ascii="Arial" w:hAnsi="Arial" w:cs="Arial"/>
        </w:rPr>
        <w:t xml:space="preserve">Yom-Tov Y, Yom-Tov S. 2004. Climatic change and body size in two species of Japanese rodents. </w:t>
      </w:r>
      <w:r w:rsidRPr="00D75758">
        <w:rPr>
          <w:rFonts w:ascii="Arial" w:hAnsi="Arial" w:cs="Arial"/>
        </w:rPr>
        <w:t xml:space="preserve">Biological Journal of the </w:t>
      </w:r>
      <w:proofErr w:type="spellStart"/>
      <w:r w:rsidRPr="00D75758">
        <w:rPr>
          <w:rFonts w:ascii="Arial" w:hAnsi="Arial" w:cs="Arial"/>
        </w:rPr>
        <w:t>Linnean</w:t>
      </w:r>
      <w:proofErr w:type="spellEnd"/>
      <w:r w:rsidRPr="00D75758">
        <w:rPr>
          <w:rFonts w:ascii="Arial" w:hAnsi="Arial" w:cs="Arial"/>
        </w:rPr>
        <w:t xml:space="preserve"> Society 82(2): 263–267 DOI 10.1111/j.1095-8312.2004.00357.x.</w:t>
      </w:r>
    </w:p>
    <w:p w:rsidR="00B67AB3" w:rsidRDefault="00B67AB3" w:rsidP="00A42A03">
      <w:pPr>
        <w:spacing w:line="480" w:lineRule="auto"/>
        <w:ind w:left="720" w:hanging="720"/>
        <w:rPr>
          <w:rFonts w:ascii="Arial" w:hAnsi="Arial" w:cs="Arial"/>
          <w:lang w:val="fr-FR"/>
        </w:rPr>
      </w:pPr>
      <w:r w:rsidRPr="001D2D13">
        <w:rPr>
          <w:rFonts w:ascii="Arial" w:hAnsi="Arial" w:cs="Arial"/>
        </w:rPr>
        <w:t xml:space="preserve">Yom-Tov Y, Yom-Tov S, Jensen TS, </w:t>
      </w:r>
      <w:proofErr w:type="spellStart"/>
      <w:r w:rsidRPr="001D2D13">
        <w:rPr>
          <w:rFonts w:ascii="Arial" w:hAnsi="Arial" w:cs="Arial"/>
        </w:rPr>
        <w:t>Baagoe</w:t>
      </w:r>
      <w:proofErr w:type="spellEnd"/>
      <w:r w:rsidRPr="001D2D13">
        <w:rPr>
          <w:rFonts w:ascii="Arial" w:hAnsi="Arial" w:cs="Arial"/>
        </w:rPr>
        <w:t xml:space="preserve"> H. 2012. No recent temporal changes in body size of three Danish rodents. </w:t>
      </w:r>
      <w:r w:rsidRPr="001D2D13">
        <w:rPr>
          <w:rFonts w:ascii="Arial" w:hAnsi="Arial" w:cs="Arial"/>
          <w:lang w:val="fr-FR"/>
        </w:rPr>
        <w:t xml:space="preserve">Acta </w:t>
      </w:r>
      <w:proofErr w:type="spellStart"/>
      <w:r w:rsidRPr="001D2D13">
        <w:rPr>
          <w:rFonts w:ascii="Arial" w:hAnsi="Arial" w:cs="Arial"/>
          <w:lang w:val="fr-FR"/>
        </w:rPr>
        <w:t>Theriologica</w:t>
      </w:r>
      <w:proofErr w:type="spellEnd"/>
      <w:r w:rsidRPr="001D2D13">
        <w:rPr>
          <w:rFonts w:ascii="Arial" w:hAnsi="Arial" w:cs="Arial"/>
          <w:lang w:val="fr-FR"/>
        </w:rPr>
        <w:t xml:space="preserve"> 57(1): 59–63 DOI 10.1007/s13364-011-0052-y.</w:t>
      </w:r>
    </w:p>
    <w:sectPr w:rsidR="00B67AB3" w:rsidSect="00B45701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A"/>
    <w:rsid w:val="00113FB8"/>
    <w:rsid w:val="001D2D13"/>
    <w:rsid w:val="002C795D"/>
    <w:rsid w:val="003C5FF1"/>
    <w:rsid w:val="005B5D6E"/>
    <w:rsid w:val="005E08BA"/>
    <w:rsid w:val="0068509C"/>
    <w:rsid w:val="006C17C5"/>
    <w:rsid w:val="00836C33"/>
    <w:rsid w:val="008A3880"/>
    <w:rsid w:val="008F3CCB"/>
    <w:rsid w:val="009156D6"/>
    <w:rsid w:val="009B6F9A"/>
    <w:rsid w:val="00A3332C"/>
    <w:rsid w:val="00A42A03"/>
    <w:rsid w:val="00B45701"/>
    <w:rsid w:val="00B67AB3"/>
    <w:rsid w:val="00D75758"/>
    <w:rsid w:val="00E46FA4"/>
    <w:rsid w:val="00F160C9"/>
    <w:rsid w:val="00F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A115-81A1-4EDB-8248-F8F332C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B6F9A"/>
    <w:pPr>
      <w:widowControl w:val="0"/>
      <w:suppressAutoHyphens/>
      <w:autoSpaceDE w:val="0"/>
      <w:autoSpaceDN w:val="0"/>
      <w:spacing w:before="80"/>
      <w:ind w:left="100" w:right="167"/>
      <w:jc w:val="center"/>
      <w:textAlignment w:val="baseline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9B6F9A"/>
    <w:pPr>
      <w:widowControl w:val="0"/>
      <w:suppressAutoHyphens/>
      <w:autoSpaceDE w:val="0"/>
      <w:autoSpaceDN w:val="0"/>
      <w:ind w:left="100"/>
      <w:jc w:val="left"/>
      <w:textAlignment w:val="baseline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9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9B6F9A"/>
    <w:rPr>
      <w:rFonts w:ascii="Arial" w:eastAsia="Times New Roman" w:hAnsi="Arial" w:cs="Arial"/>
      <w:b/>
      <w:bCs/>
    </w:rPr>
  </w:style>
  <w:style w:type="character" w:customStyle="1" w:styleId="BodyTextChar">
    <w:name w:val="Body Text Char"/>
    <w:link w:val="BodyText"/>
    <w:rsid w:val="009B6F9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9B6F9A"/>
    <w:pPr>
      <w:widowControl w:val="0"/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</w:rPr>
  </w:style>
  <w:style w:type="character" w:customStyle="1" w:styleId="BalloonTextChar">
    <w:name w:val="Balloon Text Char"/>
    <w:link w:val="BalloonText"/>
    <w:rsid w:val="009B6F9A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sid w:val="009B6F9A"/>
    <w:pPr>
      <w:suppressAutoHyphens/>
      <w:autoSpaceDN w:val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9B6F9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9B6F9A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link w:val="Footer"/>
    <w:rsid w:val="009B6F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B6F9A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CommentTextChar">
    <w:name w:val="Comment Text Char"/>
    <w:link w:val="CommentText"/>
    <w:rsid w:val="009B6F9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9B6F9A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SubjectChar">
    <w:name w:val="Comment Subject Char"/>
    <w:link w:val="CommentSubject"/>
    <w:rsid w:val="009B6F9A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B6F9A"/>
    <w:rPr>
      <w:b/>
      <w:bCs/>
    </w:rPr>
  </w:style>
  <w:style w:type="character" w:customStyle="1" w:styleId="HTMLPreformattedChar">
    <w:name w:val="HTML Preformatted Char"/>
    <w:link w:val="HTMLPreformatted"/>
    <w:rsid w:val="009B6F9A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styleId="HTMLPreformatted">
    <w:name w:val="HTML Preformatted"/>
    <w:basedOn w:val="Normal"/>
    <w:link w:val="HTMLPreformattedChar"/>
    <w:rsid w:val="009B6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TableParagraph">
    <w:name w:val="Table Paragraph"/>
    <w:basedOn w:val="Normal"/>
    <w:rsid w:val="009B6F9A"/>
    <w:pPr>
      <w:widowControl w:val="0"/>
      <w:suppressAutoHyphens/>
      <w:autoSpaceDE w:val="0"/>
      <w:autoSpaceDN w:val="0"/>
      <w:spacing w:before="1"/>
      <w:ind w:left="103"/>
      <w:jc w:val="left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semiHidden/>
    <w:unhideWhenUsed/>
    <w:rsid w:val="00B6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Aluwani Nengovhela</dc:creator>
  <cp:keywords/>
  <dc:description/>
  <cp:lastModifiedBy>Aluwani Nengovhela</cp:lastModifiedBy>
  <cp:revision>6</cp:revision>
  <dcterms:created xsi:type="dcterms:W3CDTF">2020-05-01T11:52:00Z</dcterms:created>
  <dcterms:modified xsi:type="dcterms:W3CDTF">2020-07-10T07:03:00Z</dcterms:modified>
</cp:coreProperties>
</file>