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4BAE" w14:textId="2971DC08" w:rsidR="00DD54A4" w:rsidRPr="00DD54A4" w:rsidRDefault="00DD54A4">
      <w:pPr>
        <w:rPr>
          <w:rFonts w:ascii="Times New Roman" w:hAnsi="Times New Roman"/>
          <w:bCs/>
          <w:sz w:val="24"/>
          <w:szCs w:val="24"/>
        </w:rPr>
      </w:pPr>
      <w:r w:rsidRPr="00DD54A4">
        <w:rPr>
          <w:rFonts w:ascii="Times New Roman" w:hAnsi="Times New Roman"/>
          <w:b/>
          <w:sz w:val="24"/>
          <w:szCs w:val="24"/>
        </w:rPr>
        <w:t xml:space="preserve">Supplementary Table </w:t>
      </w:r>
      <w:r w:rsidR="00D438DE">
        <w:rPr>
          <w:rFonts w:ascii="Times New Roman" w:hAnsi="Times New Roman"/>
          <w:b/>
          <w:sz w:val="24"/>
          <w:szCs w:val="24"/>
        </w:rPr>
        <w:t>2</w:t>
      </w:r>
      <w:r w:rsidRPr="00DD54A4">
        <w:rPr>
          <w:rFonts w:ascii="Times New Roman" w:hAnsi="Times New Roman"/>
          <w:b/>
          <w:sz w:val="24"/>
          <w:szCs w:val="24"/>
        </w:rPr>
        <w:t xml:space="preserve">: List of </w:t>
      </w:r>
      <w:r w:rsidR="00D438DE">
        <w:rPr>
          <w:rFonts w:ascii="Times New Roman" w:hAnsi="Times New Roman"/>
          <w:b/>
          <w:sz w:val="24"/>
          <w:szCs w:val="24"/>
        </w:rPr>
        <w:t>crustacean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54A4">
        <w:rPr>
          <w:rFonts w:ascii="Times New Roman" w:hAnsi="Times New Roman"/>
          <w:b/>
          <w:sz w:val="24"/>
          <w:szCs w:val="24"/>
        </w:rPr>
        <w:t>prey species identified from lionfish (</w:t>
      </w:r>
      <w:r w:rsidRPr="00DD54A4">
        <w:rPr>
          <w:rFonts w:ascii="Times New Roman" w:hAnsi="Times New Roman"/>
          <w:b/>
          <w:i/>
          <w:iCs/>
          <w:sz w:val="24"/>
          <w:szCs w:val="24"/>
        </w:rPr>
        <w:t>Pterois</w:t>
      </w:r>
      <w:r w:rsidRPr="00DD54A4">
        <w:rPr>
          <w:rFonts w:ascii="Times New Roman" w:hAnsi="Times New Roman"/>
          <w:b/>
          <w:sz w:val="24"/>
          <w:szCs w:val="24"/>
        </w:rPr>
        <w:t xml:space="preserve"> spp.) stomachs from Western Atlantic habitats using barcoding approaches. </w:t>
      </w:r>
      <w:r w:rsidR="000718E5">
        <w:rPr>
          <w:rFonts w:ascii="Times New Roman" w:hAnsi="Times New Roman"/>
          <w:bCs/>
          <w:sz w:val="24"/>
          <w:szCs w:val="24"/>
        </w:rPr>
        <w:t>Although barcod</w:t>
      </w:r>
      <w:r w:rsidR="00D93D35">
        <w:rPr>
          <w:rFonts w:ascii="Times New Roman" w:hAnsi="Times New Roman"/>
          <w:bCs/>
          <w:sz w:val="24"/>
          <w:szCs w:val="24"/>
        </w:rPr>
        <w:t>ing</w:t>
      </w:r>
      <w:r w:rsidR="000718E5">
        <w:rPr>
          <w:rFonts w:ascii="Times New Roman" w:hAnsi="Times New Roman"/>
          <w:bCs/>
          <w:sz w:val="24"/>
          <w:szCs w:val="24"/>
        </w:rPr>
        <w:t xml:space="preserve"> efforts have been carried out in </w:t>
      </w:r>
      <w:r w:rsidRPr="00DD54A4">
        <w:rPr>
          <w:rFonts w:ascii="Times New Roman" w:hAnsi="Times New Roman"/>
          <w:bCs/>
          <w:sz w:val="24"/>
          <w:szCs w:val="24"/>
        </w:rPr>
        <w:t xml:space="preserve">Western Florida (this study), </w:t>
      </w:r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Yucatan Peninsula (Valdez-Moreno et al. 2012), </w:t>
      </w:r>
      <w:r w:rsidRPr="00DD54A4">
        <w:rPr>
          <w:rFonts w:ascii="Times New Roman" w:hAnsi="Times New Roman"/>
          <w:bCs/>
          <w:sz w:val="24"/>
          <w:szCs w:val="24"/>
        </w:rPr>
        <w:t>The Bahamas (C</w:t>
      </w:r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>ôté et al. 2013),</w:t>
      </w:r>
      <w:r w:rsidRPr="00DD54A4">
        <w:rPr>
          <w:rFonts w:ascii="Times New Roman" w:hAnsi="Times New Roman"/>
          <w:bCs/>
          <w:sz w:val="24"/>
          <w:szCs w:val="24"/>
        </w:rPr>
        <w:t xml:space="preserve"> Belize (Rocha et al. 2015), Puerto Rico (Harms-Tuohy et al. 2016), </w:t>
      </w:r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>the Northern Gulf of Mexico (Dahl el al. 2012), and Byscaine National Park (Sancho et al. 2018)</w:t>
      </w:r>
      <w:r w:rsidR="000718E5">
        <w:rPr>
          <w:rFonts w:ascii="Times New Roman" w:eastAsia="Times New Roman" w:hAnsi="Times New Roman" w:cs="Times New Roman"/>
          <w:color w:val="000000"/>
          <w:sz w:val="24"/>
          <w:szCs w:val="24"/>
        </w:rPr>
        <w:t>, only three studies have reported identified crustacean species</w:t>
      </w:r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prey list for </w:t>
      </w:r>
      <w:r w:rsidR="0007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Sancho et al. </w:t>
      </w:r>
      <w:r w:rsidR="004C6F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18E5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4C6F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7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>may be partial, as not all species identified were reported in the study.</w:t>
      </w:r>
    </w:p>
    <w:tbl>
      <w:tblPr>
        <w:tblW w:w="7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660"/>
        <w:gridCol w:w="689"/>
        <w:gridCol w:w="696"/>
        <w:gridCol w:w="696"/>
        <w:gridCol w:w="696"/>
      </w:tblGrid>
      <w:tr w:rsidR="0077185E" w:rsidRPr="00E829D9" w14:paraId="562E0E79" w14:textId="5A8B363D" w:rsidTr="0077185E">
        <w:trPr>
          <w:cantSplit/>
          <w:trHeight w:val="2096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4157E39" w14:textId="77777777" w:rsidR="0077185E" w:rsidRPr="00E829D9" w:rsidRDefault="0077185E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79838DC" w14:textId="77777777" w:rsidR="0077185E" w:rsidRPr="00E829D9" w:rsidRDefault="0077185E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689" w:type="dxa"/>
            <w:shd w:val="clear" w:color="auto" w:fill="auto"/>
            <w:noWrap/>
            <w:textDirection w:val="btLr"/>
            <w:vAlign w:val="center"/>
            <w:hideMark/>
          </w:tcPr>
          <w:p w14:paraId="15CA15D5" w14:textId="77777777" w:rsidR="0077185E" w:rsidRPr="00E829D9" w:rsidRDefault="0077185E" w:rsidP="0077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vAlign w:val="center"/>
            <w:hideMark/>
          </w:tcPr>
          <w:p w14:paraId="15D89B06" w14:textId="5AFC6E9C" w:rsidR="0077185E" w:rsidRDefault="0077185E" w:rsidP="0077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Valdez-Moreno</w:t>
            </w:r>
            <w:r w:rsidRPr="00B8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et al.</w:t>
            </w:r>
          </w:p>
          <w:p w14:paraId="04B451EB" w14:textId="712E3C9F" w:rsidR="0077185E" w:rsidRPr="00E829D9" w:rsidRDefault="0077185E" w:rsidP="0077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vAlign w:val="center"/>
            <w:hideMark/>
          </w:tcPr>
          <w:p w14:paraId="292813E5" w14:textId="212C2C6E" w:rsidR="0077185E" w:rsidRDefault="0077185E" w:rsidP="0077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Sancho et al.</w:t>
            </w:r>
          </w:p>
          <w:p w14:paraId="14B74711" w14:textId="31BFE104" w:rsidR="0077185E" w:rsidRPr="00E829D9" w:rsidRDefault="0077185E" w:rsidP="0077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6" w:type="dxa"/>
            <w:textDirection w:val="btLr"/>
            <w:vAlign w:val="center"/>
          </w:tcPr>
          <w:p w14:paraId="29AC9B2D" w14:textId="04AF1959" w:rsidR="0077185E" w:rsidRPr="00E829D9" w:rsidRDefault="0077185E" w:rsidP="007718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Studies Reported In</w:t>
            </w:r>
          </w:p>
        </w:tc>
      </w:tr>
      <w:tr w:rsidR="0077185E" w:rsidRPr="00E829D9" w14:paraId="20DF0A6F" w14:textId="5DC9DF18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FEE13BF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Alpheidae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B784D6C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Synalpheus</w:t>
            </w: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413EE334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49F19DC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6AFC9D8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4807C14" w14:textId="26B6D263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185E" w:rsidRPr="00E829D9" w14:paraId="1D718C29" w14:textId="7024D55E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7A0092F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Alpheidae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418D2724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Unidentified species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F236C77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D04E9A5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08445AA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01A69A3" w14:textId="4EB1D8D6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85E" w:rsidRPr="00E829D9" w14:paraId="0051BFA7" w14:textId="20538109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81ACF0C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Euphasiidae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785C425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Euphasia</w:t>
            </w: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1C28F8A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00981A4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7BF489E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3E8A028C" w14:textId="17D85E6A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185E" w:rsidRPr="00E829D9" w14:paraId="0DA8C3C7" w14:textId="4F908B40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B320CA8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Gammaridae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A1C8291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Unidentified species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22C9CE5E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2FEAFE2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FAE52BB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73B00A5" w14:textId="62AAC5B9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85E" w:rsidRPr="00E829D9" w14:paraId="6D0777FD" w14:textId="2D94B773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E6B55E1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Gonodactylidae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16CA4F24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Neogonodactylus bredini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A4AC69B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1B220CB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9A0E895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3D4E73D8" w14:textId="4C703368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85E" w:rsidRPr="00E829D9" w14:paraId="4D1308E0" w14:textId="05BF00BC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2931946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Gonodactylidae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03D6FB6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Unidentified species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FF39EC9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01F8705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48BAA5A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B8BE8EB" w14:textId="0770F786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185E" w:rsidRPr="00E829D9" w14:paraId="25DBDD59" w14:textId="117330D4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E484C78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Hyppolytidae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6AA824A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Thor</w:t>
            </w: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65543E6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01AA16E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8AFA865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B24E400" w14:textId="13D481E2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185E" w:rsidRPr="00E829D9" w14:paraId="28D44BD8" w14:textId="214B8335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EC75914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Menippidae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40B15E0F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Menippe mercenaria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F7240C9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D2C48F9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6F825EF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center"/>
          </w:tcPr>
          <w:p w14:paraId="68F54C5D" w14:textId="5A878966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185E" w:rsidRPr="00E829D9" w14:paraId="01200F47" w14:textId="257F69E6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36E676C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Palaemonidae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D827EC9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Unidentified species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4246DC3B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37B9CF9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841D89F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40E556D" w14:textId="1CAF0724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185E" w:rsidRPr="00E829D9" w14:paraId="59FA1547" w14:textId="54F00B44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5F6BD28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5C38160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Farfantepenaeus duorarum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846F6A5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5710FAE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D7343BA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center"/>
          </w:tcPr>
          <w:p w14:paraId="17ED1349" w14:textId="01B1B7F0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185E" w:rsidRPr="00E829D9" w14:paraId="1565BC9E" w14:textId="7D099A5A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A0F3568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480D735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Metapenaeopsis goodei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DCCF2D5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A8CA267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03F3F22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4736FCB" w14:textId="19EA2D15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85E" w:rsidRPr="00E829D9" w14:paraId="73A7DC6D" w14:textId="0B94BDC1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B01B4E4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Portunidae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B857F94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Achelous ordwayi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1B7C1A46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308AA2D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E754368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64404417" w14:textId="47D04FA1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85E" w:rsidRPr="00E829D9" w14:paraId="37716146" w14:textId="1081224A" w:rsidTr="0077185E">
        <w:trPr>
          <w:trHeight w:val="288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9C024E2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Pseudosquillidae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B539924" w14:textId="77777777" w:rsidR="0077185E" w:rsidRPr="00E829D9" w:rsidRDefault="0077185E" w:rsidP="007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Pseudosquilla</w:t>
            </w: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4126C5E8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783283B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DAB15D5" w14:textId="77777777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450D34FE" w14:textId="1D8BAB88" w:rsidR="0077185E" w:rsidRPr="00E829D9" w:rsidRDefault="0077185E" w:rsidP="0077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165DD96E" w14:textId="77777777" w:rsidR="0079338B" w:rsidRDefault="0079338B"/>
    <w:sectPr w:rsidR="0079338B" w:rsidSect="00DD54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A4"/>
    <w:rsid w:val="000718E5"/>
    <w:rsid w:val="00310036"/>
    <w:rsid w:val="004C6F34"/>
    <w:rsid w:val="004D7246"/>
    <w:rsid w:val="0077185E"/>
    <w:rsid w:val="0079338B"/>
    <w:rsid w:val="00B856C4"/>
    <w:rsid w:val="00BD0D5C"/>
    <w:rsid w:val="00D438DE"/>
    <w:rsid w:val="00D93D35"/>
    <w:rsid w:val="00D96BDC"/>
    <w:rsid w:val="00DD54A4"/>
    <w:rsid w:val="00E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D567"/>
  <w15:chartTrackingRefBased/>
  <w15:docId w15:val="{5C2EF04E-1CC6-4ECF-953D-AAA54050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4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4A4"/>
    <w:rPr>
      <w:color w:val="954F72"/>
      <w:u w:val="single"/>
    </w:rPr>
  </w:style>
  <w:style w:type="paragraph" w:customStyle="1" w:styleId="msonormal0">
    <w:name w:val="msonormal"/>
    <w:basedOn w:val="Normal"/>
    <w:rsid w:val="00DD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D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6">
    <w:name w:val="font6"/>
    <w:basedOn w:val="Normal"/>
    <w:rsid w:val="00DD54A4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333333"/>
    </w:rPr>
  </w:style>
  <w:style w:type="paragraph" w:customStyle="1" w:styleId="xl63">
    <w:name w:val="xl63"/>
    <w:basedOn w:val="Normal"/>
    <w:rsid w:val="00DD54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Normal"/>
    <w:rsid w:val="00DD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csantamaria05 csantamaria05</dc:creator>
  <cp:keywords/>
  <dc:description/>
  <cp:lastModifiedBy>csantamaria05 csantamaria05</cp:lastModifiedBy>
  <cp:revision>5</cp:revision>
  <dcterms:created xsi:type="dcterms:W3CDTF">2020-07-21T22:38:00Z</dcterms:created>
  <dcterms:modified xsi:type="dcterms:W3CDTF">2020-07-27T19:03:00Z</dcterms:modified>
</cp:coreProperties>
</file>