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41" w:rsidRDefault="00077733">
      <w:pPr>
        <w:pStyle w:val="Heading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e2eay4l0w6c2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Supplementary Information</w:t>
      </w:r>
    </w:p>
    <w:p w:rsidR="00D13341" w:rsidRDefault="00D13341"/>
    <w:p w:rsidR="00D13341" w:rsidRDefault="00077733">
      <w:pPr>
        <w:spacing w:after="240"/>
      </w:pPr>
      <w:r>
        <w:t>Table S1: Linear regression equations for scaled root mean square error (SRMSE) for each parameter in which breaking lineages into low-divergence and high-divergence groups improved the regression model, summarizing how accuracy declines with diminished sample sizes. Parameters are effective population size (</w:t>
      </w:r>
      <w:r>
        <w:rPr>
          <w:i/>
        </w:rPr>
        <w:t>ν</w:t>
      </w:r>
      <w:r>
        <w:rPr>
          <w:i/>
          <w:vertAlign w:val="subscript"/>
        </w:rPr>
        <w:t xml:space="preserve">1 </w:t>
      </w:r>
      <w:r>
        <w:t xml:space="preserve">and </w:t>
      </w:r>
      <w:r>
        <w:rPr>
          <w:i/>
        </w:rPr>
        <w:t>ν</w:t>
      </w:r>
      <w:r>
        <w:rPr>
          <w:i/>
          <w:vertAlign w:val="subscript"/>
        </w:rPr>
        <w:t>2</w:t>
      </w:r>
      <w:r>
        <w:t xml:space="preserve">), time since </w:t>
      </w:r>
      <w:r w:rsidR="00407B9F">
        <w:t>divergence</w:t>
      </w:r>
      <w:r>
        <w:t xml:space="preserve"> (</w:t>
      </w:r>
      <w:r>
        <w:rPr>
          <w:i/>
        </w:rPr>
        <w:t>T</w:t>
      </w:r>
      <w:r>
        <w:t xml:space="preserve">), and </w:t>
      </w:r>
      <w:r>
        <w:rPr>
          <w:i/>
        </w:rPr>
        <w:t>Θ</w:t>
      </w:r>
      <w:r>
        <w:t xml:space="preserve"> (defined as 4</w:t>
      </w:r>
      <w:r>
        <w:rPr>
          <w:i/>
        </w:rPr>
        <w:t>N</w:t>
      </w:r>
      <w:r>
        <w:rPr>
          <w:i/>
          <w:vertAlign w:val="subscript"/>
        </w:rPr>
        <w:t>ref</w:t>
      </w:r>
      <w:r>
        <w:rPr>
          <w:i/>
        </w:rPr>
        <w:t>μ</w:t>
      </w:r>
      <w:r>
        <w:t xml:space="preserve">, where </w:t>
      </w:r>
      <w:r>
        <w:rPr>
          <w:i/>
        </w:rPr>
        <w:t>N</w:t>
      </w:r>
      <w:r>
        <w:rPr>
          <w:i/>
          <w:vertAlign w:val="subscript"/>
        </w:rPr>
        <w:t>ref</w:t>
      </w:r>
      <w:r>
        <w:rPr>
          <w:i/>
        </w:rPr>
        <w:t xml:space="preserve"> </w:t>
      </w:r>
      <w:r>
        <w:t xml:space="preserve">is ancestral population size and </w:t>
      </w:r>
      <w:r>
        <w:rPr>
          <w:i/>
        </w:rPr>
        <w:t>μ</w:t>
      </w:r>
      <w:r>
        <w:t xml:space="preserve"> is mutation rate per generation). Note that these are based on SMRSE values (to enable among-lineage comparisons; Table 3). Thus, </w:t>
      </w:r>
      <w:r>
        <w:rPr>
          <w:i/>
        </w:rPr>
        <w:t xml:space="preserve">y </w:t>
      </w:r>
      <w:r>
        <w:t xml:space="preserve">in the regression equation </w:t>
      </w:r>
      <w:r>
        <w:rPr>
          <w:i/>
        </w:rPr>
        <w:t>y = mx + b</w:t>
      </w:r>
      <w:r>
        <w:t xml:space="preserve"> is SMRSE for that particular demographic variable (</w:t>
      </w:r>
      <w:r>
        <w:rPr>
          <w:i/>
        </w:rPr>
        <w:t xml:space="preserve">m </w:t>
      </w:r>
      <w:r>
        <w:t xml:space="preserve">is slope, </w:t>
      </w:r>
      <w:r>
        <w:rPr>
          <w:i/>
        </w:rPr>
        <w:t xml:space="preserve">x </w:t>
      </w:r>
      <w:r>
        <w:t xml:space="preserve">is </w:t>
      </w:r>
      <w:r>
        <w:rPr>
          <w:i/>
        </w:rPr>
        <w:t>N</w:t>
      </w:r>
      <w:r>
        <w:t xml:space="preserve">, and </w:t>
      </w:r>
      <w:r>
        <w:rPr>
          <w:i/>
        </w:rPr>
        <w:t xml:space="preserve">b </w:t>
      </w:r>
      <w:r>
        <w:t xml:space="preserve">is the </w:t>
      </w:r>
      <w:r>
        <w:rPr>
          <w:i/>
        </w:rPr>
        <w:t xml:space="preserve">y </w:t>
      </w:r>
      <w:r>
        <w:t>intercept).</w:t>
      </w:r>
    </w:p>
    <w:tbl>
      <w:tblPr>
        <w:tblStyle w:val="a1"/>
        <w:tblW w:w="81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540"/>
        <w:gridCol w:w="930"/>
        <w:gridCol w:w="1170"/>
      </w:tblGrid>
      <w:tr w:rsidR="00D13341">
        <w:trPr>
          <w:trHeight w:val="785"/>
        </w:trPr>
        <w:tc>
          <w:tcPr>
            <w:tcW w:w="24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rPr>
                <w:b/>
              </w:rPr>
            </w:pPr>
            <w:r>
              <w:rPr>
                <w:b/>
              </w:rPr>
              <w:t>SMRSE for variable</w:t>
            </w:r>
          </w:p>
        </w:tc>
        <w:tc>
          <w:tcPr>
            <w:tcW w:w="3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rPr>
                <w:b/>
              </w:rPr>
            </w:pPr>
            <w:r>
              <w:rPr>
                <w:b/>
              </w:rPr>
              <w:t>Regression equation (y = mx + b)</w:t>
            </w:r>
          </w:p>
        </w:tc>
        <w:tc>
          <w:tcPr>
            <w:tcW w:w="9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13341">
        <w:trPr>
          <w:trHeight w:val="515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ν</w:t>
            </w:r>
            <w:r>
              <w:rPr>
                <w:i/>
                <w:vertAlign w:val="subscript"/>
              </w:rPr>
              <w:t>1</w:t>
            </w:r>
            <w:r>
              <w:t xml:space="preserve"> (low-div group)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-0.04467 * </w:t>
            </w:r>
            <w:r>
              <w:rPr>
                <w:i/>
              </w:rPr>
              <w:t>N</w:t>
            </w:r>
            <w:r>
              <w:t xml:space="preserve"> + 0.40622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0.304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0.0052</w:t>
            </w:r>
          </w:p>
        </w:tc>
      </w:tr>
      <w:tr w:rsidR="00D13341">
        <w:trPr>
          <w:trHeight w:val="515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ν</w:t>
            </w:r>
            <w:r>
              <w:rPr>
                <w:i/>
                <w:vertAlign w:val="subscript"/>
              </w:rPr>
              <w:t>1</w:t>
            </w:r>
            <w:r>
              <w:t xml:space="preserve"> (high-div group)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-0.30251 * </w:t>
            </w:r>
            <w:r>
              <w:rPr>
                <w:i/>
              </w:rPr>
              <w:t>N</w:t>
            </w:r>
            <w:r>
              <w:t xml:space="preserve"> + 1.68585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0.189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0.0299</w:t>
            </w:r>
          </w:p>
        </w:tc>
      </w:tr>
      <w:tr w:rsidR="00D13341">
        <w:trPr>
          <w:trHeight w:val="515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ν</w:t>
            </w:r>
            <w:r>
              <w:rPr>
                <w:i/>
                <w:vertAlign w:val="subscript"/>
              </w:rPr>
              <w:t>2</w:t>
            </w:r>
            <w:r>
              <w:t xml:space="preserve"> (low-div group)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-0.10533 * </w:t>
            </w:r>
            <w:r>
              <w:rPr>
                <w:i/>
              </w:rPr>
              <w:t>N</w:t>
            </w:r>
            <w:r>
              <w:t xml:space="preserve"> + 0.69169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0.355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0.0021</w:t>
            </w:r>
          </w:p>
        </w:tc>
      </w:tr>
      <w:tr w:rsidR="00D13341">
        <w:trPr>
          <w:trHeight w:val="515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ν</w:t>
            </w:r>
            <w:r>
              <w:rPr>
                <w:i/>
                <w:vertAlign w:val="subscript"/>
              </w:rPr>
              <w:t>2</w:t>
            </w:r>
            <w:r>
              <w:t xml:space="preserve"> (high-div group)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-0.21646 * </w:t>
            </w:r>
            <w:r>
              <w:rPr>
                <w:i/>
              </w:rPr>
              <w:t>N</w:t>
            </w:r>
            <w:r>
              <w:t xml:space="preserve"> + 1.25166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0.352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0.0018</w:t>
            </w:r>
          </w:p>
        </w:tc>
      </w:tr>
      <w:tr w:rsidR="00D13341">
        <w:trPr>
          <w:trHeight w:val="500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T</w:t>
            </w:r>
            <w:r>
              <w:t xml:space="preserve"> (low-div group)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-0.04739 * </w:t>
            </w:r>
            <w:r>
              <w:rPr>
                <w:i/>
              </w:rPr>
              <w:t>N</w:t>
            </w:r>
            <w:r>
              <w:t xml:space="preserve"> + 0.40888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0.395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0.0010</w:t>
            </w:r>
          </w:p>
        </w:tc>
      </w:tr>
      <w:tr w:rsidR="00D13341">
        <w:trPr>
          <w:trHeight w:val="500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T</w:t>
            </w:r>
            <w:r>
              <w:t xml:space="preserve"> (high-div group)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-0.15276 * </w:t>
            </w:r>
            <w:r>
              <w:rPr>
                <w:i/>
              </w:rPr>
              <w:t>N</w:t>
            </w:r>
            <w:r>
              <w:t xml:space="preserve"> + 0.99239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0.328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0.0028</w:t>
            </w:r>
          </w:p>
        </w:tc>
      </w:tr>
      <w:tr w:rsidR="00D13341">
        <w:trPr>
          <w:trHeight w:val="500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Θ</w:t>
            </w:r>
            <w:r>
              <w:t xml:space="preserve"> (low-div group)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-0.02843 * </w:t>
            </w:r>
            <w:r>
              <w:rPr>
                <w:i/>
              </w:rPr>
              <w:t>N</w:t>
            </w:r>
            <w:r>
              <w:t xml:space="preserve"> + 0.26395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0.202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0.0275</w:t>
            </w:r>
          </w:p>
        </w:tc>
      </w:tr>
      <w:tr w:rsidR="00D13341">
        <w:trPr>
          <w:trHeight w:val="500"/>
        </w:trPr>
        <w:tc>
          <w:tcPr>
            <w:tcW w:w="24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rPr>
                <w:i/>
              </w:rPr>
              <w:t>Θ</w:t>
            </w:r>
            <w:r>
              <w:t xml:space="preserve">  (high-div group)</w:t>
            </w:r>
          </w:p>
        </w:tc>
        <w:tc>
          <w:tcPr>
            <w:tcW w:w="3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</w:pPr>
            <w:r>
              <w:t xml:space="preserve">y = -0.04878 * </w:t>
            </w:r>
            <w:r>
              <w:rPr>
                <w:i/>
              </w:rPr>
              <w:t>N</w:t>
            </w:r>
            <w:r>
              <w:t xml:space="preserve"> + 0.43241</w:t>
            </w:r>
          </w:p>
        </w:tc>
        <w:tc>
          <w:tcPr>
            <w:tcW w:w="9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0.303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3341" w:rsidRDefault="00077733">
            <w:pPr>
              <w:spacing w:after="0"/>
              <w:ind w:left="100"/>
              <w:jc w:val="right"/>
            </w:pPr>
            <w:r>
              <w:t>0.0043</w:t>
            </w:r>
          </w:p>
        </w:tc>
      </w:tr>
    </w:tbl>
    <w:p w:rsidR="004947F3" w:rsidRDefault="004947F3"/>
    <w:p w:rsidR="004947F3" w:rsidRDefault="004947F3" w:rsidP="004947F3"/>
    <w:p w:rsidR="00BF6C2A" w:rsidRDefault="00FE7127" w:rsidP="00BF6C2A">
      <w:pPr>
        <w:spacing w:line="240" w:lineRule="auto"/>
        <w:contextualSpacing/>
      </w:pPr>
      <w:r>
        <w:br w:type="page"/>
      </w:r>
      <w:r w:rsidR="00BF6C2A">
        <w:lastRenderedPageBreak/>
        <w:t xml:space="preserve">Table S2. Genomes used for calculation of substitution rates and time since most recent common ancestor (TMRCA, from </w:t>
      </w:r>
      <w:proofErr w:type="spellStart"/>
      <w:r w:rsidR="00BF6C2A">
        <w:t>Claramunt</w:t>
      </w:r>
      <w:proofErr w:type="spellEnd"/>
      <w:r w:rsidR="00BF6C2A">
        <w:t xml:space="preserve"> &amp; </w:t>
      </w:r>
      <w:proofErr w:type="spellStart"/>
      <w:r w:rsidR="00BF6C2A">
        <w:t>Cracraft</w:t>
      </w:r>
      <w:proofErr w:type="spellEnd"/>
      <w:r w:rsidR="00BF6C2A">
        <w:t>, 2015), substitution rate, and generation time for each lineage in which demographic parameters are translated into biologically meaningful values in this paper.</w:t>
      </w:r>
    </w:p>
    <w:p w:rsidR="00BF6C2A" w:rsidRDefault="00BF6C2A" w:rsidP="00BF6C2A">
      <w:pPr>
        <w:spacing w:line="240" w:lineRule="auto"/>
        <w:contextualSpacing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728"/>
        <w:gridCol w:w="1350"/>
        <w:gridCol w:w="1170"/>
        <w:gridCol w:w="990"/>
        <w:gridCol w:w="1710"/>
        <w:gridCol w:w="1080"/>
        <w:gridCol w:w="1548"/>
      </w:tblGrid>
      <w:tr w:rsidR="00BF6C2A" w:rsidTr="002040E1">
        <w:tc>
          <w:tcPr>
            <w:tcW w:w="1728" w:type="dxa"/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1350" w:type="dxa"/>
          </w:tcPr>
          <w:p w:rsidR="00BF6C2A" w:rsidRDefault="00BF6C2A" w:rsidP="002040E1">
            <w:pPr>
              <w:spacing w:line="240" w:lineRule="auto"/>
              <w:contextualSpacing/>
            </w:pPr>
            <w:r>
              <w:t>Genome</w:t>
            </w:r>
          </w:p>
        </w:tc>
        <w:tc>
          <w:tcPr>
            <w:tcW w:w="1170" w:type="dxa"/>
          </w:tcPr>
          <w:p w:rsidR="00BF6C2A" w:rsidRDefault="00BF6C2A" w:rsidP="002040E1">
            <w:pPr>
              <w:spacing w:line="240" w:lineRule="auto"/>
              <w:contextualSpacing/>
            </w:pPr>
            <w:r>
              <w:t>GenBank accession number</w:t>
            </w:r>
          </w:p>
        </w:tc>
        <w:tc>
          <w:tcPr>
            <w:tcW w:w="990" w:type="dxa"/>
          </w:tcPr>
          <w:p w:rsidR="00BF6C2A" w:rsidRDefault="00BF6C2A" w:rsidP="002040E1">
            <w:pPr>
              <w:spacing w:line="240" w:lineRule="auto"/>
              <w:contextualSpacing/>
            </w:pPr>
            <w:r>
              <w:t>TMRCA (my)</w:t>
            </w:r>
          </w:p>
        </w:tc>
        <w:tc>
          <w:tcPr>
            <w:tcW w:w="1710" w:type="dxa"/>
          </w:tcPr>
          <w:p w:rsidR="00BF6C2A" w:rsidRDefault="00BF6C2A" w:rsidP="002040E1">
            <w:pPr>
              <w:spacing w:line="240" w:lineRule="auto"/>
              <w:contextualSpacing/>
            </w:pPr>
            <w:r>
              <w:t>Substitution rate (subs/site/gen)</w:t>
            </w:r>
          </w:p>
        </w:tc>
        <w:tc>
          <w:tcPr>
            <w:tcW w:w="1080" w:type="dxa"/>
          </w:tcPr>
          <w:p w:rsidR="00BF6C2A" w:rsidRDefault="00BF6C2A" w:rsidP="002040E1">
            <w:pPr>
              <w:spacing w:line="240" w:lineRule="auto"/>
              <w:contextualSpacing/>
            </w:pPr>
            <w:r>
              <w:t>Generation time (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548" w:type="dxa"/>
          </w:tcPr>
          <w:p w:rsidR="00BF6C2A" w:rsidRDefault="00BF6C2A" w:rsidP="002040E1">
            <w:pPr>
              <w:spacing w:line="240" w:lineRule="auto"/>
              <w:contextualSpacing/>
            </w:pPr>
            <w:r>
              <w:t>Sources</w:t>
            </w:r>
          </w:p>
        </w:tc>
      </w:tr>
      <w:tr w:rsidR="00BF6C2A" w:rsidTr="002040E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i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</w:tr>
      <w:tr w:rsidR="00BF6C2A" w:rsidTr="002040E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ind w:left="180"/>
              <w:contextualSpacing/>
              <w:rPr>
                <w:i/>
              </w:rPr>
            </w:pPr>
            <w:proofErr w:type="spellStart"/>
            <w:r>
              <w:rPr>
                <w:b/>
                <w:i/>
              </w:rPr>
              <w:t>Tringa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brevipes</w:t>
            </w:r>
            <w:proofErr w:type="spellEnd"/>
            <w:r>
              <w:rPr>
                <w:b/>
                <w:i/>
              </w:rPr>
              <w:t xml:space="preserve"> /T. </w:t>
            </w:r>
            <w:proofErr w:type="spellStart"/>
            <w:r>
              <w:rPr>
                <w:b/>
                <w:i/>
              </w:rPr>
              <w:t>incana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BF6C2A" w:rsidRDefault="00BF6C2A" w:rsidP="002040E1">
            <w:pPr>
              <w:spacing w:line="240" w:lineRule="auto"/>
              <w:ind w:left="180"/>
              <w:contextualSpacing/>
              <w:rPr>
                <w:i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Charadrius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vociferus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GCA_000708025.2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53.5153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vertAlign w:val="superscript"/>
              </w:rPr>
            </w:pPr>
            <w:r>
              <w:t>2.453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4.88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A23E3" w:rsidP="002040E1">
            <w:pPr>
              <w:spacing w:line="240" w:lineRule="auto"/>
              <w:contextualSpacing/>
            </w:pPr>
            <w:hyperlink r:id="rId6">
              <w:r w:rsidR="00BF6C2A">
                <w:t xml:space="preserve">(Gill, McCaffery, &amp; </w:t>
              </w:r>
              <w:proofErr w:type="spellStart"/>
              <w:r w:rsidR="00BF6C2A">
                <w:t>Tomkovich</w:t>
              </w:r>
              <w:proofErr w:type="spellEnd"/>
              <w:r w:rsidR="00BF6C2A">
                <w:t>, 2002)</w:t>
              </w:r>
            </w:hyperlink>
          </w:p>
        </w:tc>
      </w:tr>
      <w:tr w:rsidR="00BF6C2A" w:rsidTr="002040E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ind w:left="180"/>
              <w:contextualSpacing/>
              <w:rPr>
                <w:i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i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vertAlign w:val="superscri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</w:p>
        </w:tc>
      </w:tr>
      <w:tr w:rsidR="00BF6C2A" w:rsidTr="002040E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ind w:left="180"/>
              <w:contextualSpacing/>
              <w:rPr>
                <w:i/>
              </w:rPr>
            </w:pPr>
            <w:proofErr w:type="spellStart"/>
            <w:r>
              <w:rPr>
                <w:b/>
                <w:i/>
              </w:rPr>
              <w:t>Pinicola</w:t>
            </w:r>
            <w:proofErr w:type="spellEnd"/>
            <w:r>
              <w:rPr>
                <w:b/>
                <w:i/>
              </w:rPr>
              <w:t xml:space="preserve"> enucleator </w:t>
            </w:r>
            <w:proofErr w:type="spellStart"/>
            <w:r>
              <w:rPr>
                <w:b/>
              </w:rPr>
              <w:t>subspp</w:t>
            </w:r>
            <w:proofErr w:type="spellEnd"/>
            <w:r>
              <w:rPr>
                <w:b/>
              </w:rPr>
              <w:t>.</w:t>
            </w:r>
          </w:p>
          <w:p w:rsidR="00BF6C2A" w:rsidRDefault="00BF6C2A" w:rsidP="002040E1">
            <w:pPr>
              <w:spacing w:line="240" w:lineRule="auto"/>
              <w:ind w:left="180"/>
              <w:contextualSpacing/>
              <w:rPr>
                <w:i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Zonotrichia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albicollis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GCA_000385455.1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21.7098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vertAlign w:val="superscript"/>
              </w:rPr>
            </w:pPr>
            <w:r>
              <w:t>1.577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6C2A" w:rsidRDefault="00BA23E3" w:rsidP="002040E1">
            <w:pPr>
              <w:spacing w:line="240" w:lineRule="auto"/>
              <w:contextualSpacing/>
            </w:pPr>
            <w:hyperlink r:id="rId7">
              <w:r w:rsidR="00BF6C2A">
                <w:t>(</w:t>
              </w:r>
              <w:proofErr w:type="spellStart"/>
              <w:r w:rsidR="00BF6C2A">
                <w:t>Adkisson</w:t>
              </w:r>
              <w:proofErr w:type="spellEnd"/>
              <w:r w:rsidR="00BF6C2A">
                <w:t>, 1999)</w:t>
              </w:r>
            </w:hyperlink>
          </w:p>
        </w:tc>
      </w:tr>
      <w:tr w:rsidR="00BF6C2A" w:rsidTr="002040E1"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6C2A" w:rsidRDefault="00BF6C2A" w:rsidP="002040E1">
            <w:pPr>
              <w:spacing w:line="240" w:lineRule="auto"/>
              <w:ind w:left="180"/>
              <w:contextualSpacing/>
              <w:rPr>
                <w:i/>
              </w:rPr>
            </w:pPr>
            <w:r>
              <w:rPr>
                <w:b/>
                <w:i/>
              </w:rPr>
              <w:t xml:space="preserve">Pica pica/Pica </w:t>
            </w:r>
            <w:proofErr w:type="spellStart"/>
            <w:r>
              <w:rPr>
                <w:b/>
                <w:i/>
              </w:rPr>
              <w:t>hudsonia</w:t>
            </w:r>
            <w:proofErr w:type="spellEnd"/>
          </w:p>
          <w:p w:rsidR="00BF6C2A" w:rsidRDefault="00BF6C2A" w:rsidP="002040E1">
            <w:pPr>
              <w:spacing w:line="240" w:lineRule="auto"/>
              <w:ind w:left="180"/>
              <w:contextualSpacing/>
              <w:rPr>
                <w:i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Taeniopygia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guttata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GCA_000151805.2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41.5132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  <w:rPr>
                <w:vertAlign w:val="superscript"/>
              </w:rPr>
            </w:pPr>
            <w:r>
              <w:t>1.304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6C2A" w:rsidRDefault="00BF6C2A" w:rsidP="002040E1">
            <w:pPr>
              <w:spacing w:line="240" w:lineRule="auto"/>
              <w:contextualSpacing/>
            </w:pPr>
            <w:r>
              <w:t>2.5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6C2A" w:rsidRDefault="00BA23E3" w:rsidP="002040E1">
            <w:pPr>
              <w:spacing w:line="240" w:lineRule="auto"/>
              <w:contextualSpacing/>
            </w:pPr>
            <w:hyperlink r:id="rId8">
              <w:r w:rsidR="00BF6C2A">
                <w:t>(</w:t>
              </w:r>
              <w:proofErr w:type="spellStart"/>
              <w:r w:rsidR="00BF6C2A">
                <w:t>Trost</w:t>
              </w:r>
              <w:proofErr w:type="spellEnd"/>
              <w:r w:rsidR="00BF6C2A">
                <w:t>, 1999)</w:t>
              </w:r>
            </w:hyperlink>
          </w:p>
        </w:tc>
      </w:tr>
    </w:tbl>
    <w:p w:rsidR="00BF6C2A" w:rsidRDefault="00BF6C2A" w:rsidP="00BF6C2A">
      <w:pPr>
        <w:spacing w:line="240" w:lineRule="auto"/>
        <w:contextualSpacing/>
      </w:pPr>
    </w:p>
    <w:p w:rsidR="00FE7127" w:rsidRDefault="00FE7127" w:rsidP="00FE7127">
      <w:r>
        <w:br w:type="page"/>
      </w:r>
    </w:p>
    <w:p w:rsidR="00D13341" w:rsidRDefault="00D13341">
      <w:pPr>
        <w:sectPr w:rsidR="00D13341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D13341" w:rsidRDefault="00077733">
      <w:pPr>
        <w:pStyle w:val="Heading2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Supplementary Information figures</w:t>
      </w:r>
    </w:p>
    <w:p w:rsidR="00D13341" w:rsidRDefault="00077733">
      <w:pPr>
        <w:keepNext/>
        <w:spacing w:line="240" w:lineRule="auto"/>
        <w:ind w:left="720" w:hanging="720"/>
      </w:pPr>
      <w:r>
        <w:rPr>
          <w:noProof/>
        </w:rPr>
        <w:drawing>
          <wp:inline distT="114300" distB="114300" distL="114300" distR="114300">
            <wp:extent cx="5943600" cy="6985000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341" w:rsidRDefault="00077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Figure S1: Estimates of </w:t>
      </w:r>
      <w:r>
        <w:rPr>
          <w:i/>
          <w:color w:val="000000"/>
        </w:rPr>
        <w:t>ν</w:t>
      </w:r>
      <w:r>
        <w:rPr>
          <w:i/>
          <w:color w:val="000000"/>
          <w:vertAlign w:val="subscript"/>
        </w:rPr>
        <w:t>1</w:t>
      </w:r>
      <w:r>
        <w:rPr>
          <w:color w:val="000000"/>
        </w:rPr>
        <w:t xml:space="preserve"> (effective size of population 1) at varying sample sizes in eight lineages (vertical axis is </w:t>
      </w:r>
      <w:r>
        <w:rPr>
          <w:i/>
        </w:rPr>
        <w:t>ν</w:t>
      </w:r>
      <w:r>
        <w:rPr>
          <w:i/>
          <w:vertAlign w:val="subscript"/>
        </w:rPr>
        <w:t>1</w:t>
      </w:r>
      <w:r>
        <w:rPr>
          <w:color w:val="000000"/>
        </w:rPr>
        <w:t>, and horizon</w:t>
      </w:r>
      <w:r>
        <w:t>tal axis is sample size as number of individuals)</w:t>
      </w:r>
      <w:r>
        <w:rPr>
          <w:color w:val="000000"/>
        </w:rPr>
        <w:t>.</w:t>
      </w:r>
      <w:r w:rsidR="007D0776">
        <w:rPr>
          <w:color w:val="000000"/>
        </w:rPr>
        <w:t xml:space="preserve"> </w:t>
      </w:r>
      <w:sdt>
        <w:sdtPr>
          <w:tag w:val="goog_rdk_199"/>
          <w:id w:val="-1295211035"/>
        </w:sdtPr>
        <w:sdtContent>
          <w:r w:rsidR="007D0776" w:rsidRPr="00C539F5">
            <w:rPr>
              <w:color w:val="000000"/>
            </w:rPr>
            <w:t xml:space="preserve">Parameters are raw, unconverted values directly from </w:t>
          </w:r>
          <w:proofErr w:type="spellStart"/>
          <w:r w:rsidR="007D0776" w:rsidRPr="00C539F5">
            <w:rPr>
              <w:color w:val="000000"/>
            </w:rPr>
            <w:t>δaδi</w:t>
          </w:r>
          <w:proofErr w:type="spellEnd"/>
          <w:r w:rsidR="007D0776" w:rsidRPr="00C539F5">
            <w:rPr>
              <w:color w:val="000000"/>
            </w:rPr>
            <w:t xml:space="preserve"> analyses.</w:t>
          </w:r>
        </w:sdtContent>
      </w:sdt>
      <w:r>
        <w:rPr>
          <w:color w:val="000000"/>
        </w:rPr>
        <w:t xml:space="preserve">  </w:t>
      </w:r>
    </w:p>
    <w:p w:rsidR="00D13341" w:rsidRDefault="00D13341"/>
    <w:p w:rsidR="00D13341" w:rsidRDefault="00D13341"/>
    <w:p w:rsidR="00D13341" w:rsidRDefault="00077733">
      <w:pPr>
        <w:keepNext/>
      </w:pPr>
      <w:r>
        <w:rPr>
          <w:noProof/>
        </w:rPr>
        <w:drawing>
          <wp:inline distT="114300" distB="114300" distL="114300" distR="114300">
            <wp:extent cx="5943600" cy="6464300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341" w:rsidRDefault="00077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Figure S2</w:t>
      </w:r>
      <w:r>
        <w:rPr>
          <w:b/>
          <w:color w:val="4F81BD"/>
          <w:sz w:val="18"/>
          <w:szCs w:val="18"/>
        </w:rPr>
        <w:t xml:space="preserve">: </w:t>
      </w:r>
      <w:r>
        <w:rPr>
          <w:color w:val="000000"/>
        </w:rPr>
        <w:t xml:space="preserve">Estimates of </w:t>
      </w:r>
      <w:r>
        <w:rPr>
          <w:i/>
          <w:color w:val="000000"/>
        </w:rPr>
        <w:t>ν</w:t>
      </w:r>
      <w:r>
        <w:rPr>
          <w:i/>
          <w:color w:val="000000"/>
          <w:vertAlign w:val="subscript"/>
        </w:rPr>
        <w:t>2</w:t>
      </w:r>
      <w:r>
        <w:rPr>
          <w:color w:val="000000"/>
        </w:rPr>
        <w:t xml:space="preserve"> (effective size of population 2) at varying sample sizes in eight lineages </w:t>
      </w:r>
      <w:r>
        <w:t xml:space="preserve">(vertical axis is </w:t>
      </w:r>
      <w:r>
        <w:rPr>
          <w:i/>
        </w:rPr>
        <w:t>ν</w:t>
      </w:r>
      <w:r>
        <w:rPr>
          <w:i/>
          <w:vertAlign w:val="subscript"/>
        </w:rPr>
        <w:t>2</w:t>
      </w:r>
      <w:r>
        <w:t>, and horizontal axis is sample size as number of individuals)</w:t>
      </w:r>
      <w:r>
        <w:rPr>
          <w:color w:val="000000"/>
        </w:rPr>
        <w:t>.</w:t>
      </w:r>
      <w:r w:rsidR="007D0776">
        <w:rPr>
          <w:color w:val="000000"/>
        </w:rPr>
        <w:t xml:space="preserve"> </w:t>
      </w:r>
      <w:sdt>
        <w:sdtPr>
          <w:tag w:val="goog_rdk_199"/>
          <w:id w:val="603378328"/>
        </w:sdtPr>
        <w:sdtContent>
          <w:r w:rsidR="007D0776" w:rsidRPr="00C539F5">
            <w:rPr>
              <w:color w:val="000000"/>
            </w:rPr>
            <w:t xml:space="preserve">Parameters are raw, unconverted values directly from </w:t>
          </w:r>
          <w:proofErr w:type="spellStart"/>
          <w:r w:rsidR="007D0776" w:rsidRPr="00C539F5">
            <w:rPr>
              <w:color w:val="000000"/>
            </w:rPr>
            <w:t>δaδi</w:t>
          </w:r>
          <w:proofErr w:type="spellEnd"/>
          <w:r w:rsidR="007D0776" w:rsidRPr="00C539F5">
            <w:rPr>
              <w:color w:val="000000"/>
            </w:rPr>
            <w:t xml:space="preserve"> analyses.</w:t>
          </w:r>
        </w:sdtContent>
      </w:sdt>
    </w:p>
    <w:p w:rsidR="00D13341" w:rsidRDefault="00D13341"/>
    <w:p w:rsidR="00D13341" w:rsidRDefault="00D13341"/>
    <w:p w:rsidR="00D13341" w:rsidRDefault="00D13341"/>
    <w:p w:rsidR="00D13341" w:rsidRDefault="003D2C45">
      <w:pPr>
        <w:keepNext/>
      </w:pPr>
      <w:r>
        <w:rPr>
          <w:noProof/>
        </w:rPr>
        <w:drawing>
          <wp:inline distT="0" distB="0" distL="0" distR="0">
            <wp:extent cx="5943600" cy="56743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sup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41" w:rsidRDefault="00077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Figure S3: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Estimates of </w:t>
      </w:r>
      <w:r>
        <w:rPr>
          <w:i/>
          <w:color w:val="000000"/>
        </w:rPr>
        <w:t xml:space="preserve">m </w:t>
      </w:r>
      <w:r>
        <w:rPr>
          <w:color w:val="000000"/>
        </w:rPr>
        <w:t>(migration or gene flow)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at varying sample sizes in eight lineages </w:t>
      </w:r>
      <w:r>
        <w:t xml:space="preserve">(vertical axis is </w:t>
      </w:r>
      <w:r>
        <w:rPr>
          <w:i/>
        </w:rPr>
        <w:t>m</w:t>
      </w:r>
      <w:r>
        <w:t>, and horizontal axis is sample size as number of individuals)</w:t>
      </w:r>
      <w:r>
        <w:rPr>
          <w:color w:val="000000"/>
        </w:rPr>
        <w:t>.</w:t>
      </w:r>
      <w:r w:rsidR="007D0776">
        <w:rPr>
          <w:color w:val="000000"/>
        </w:rPr>
        <w:t xml:space="preserve"> </w:t>
      </w:r>
      <w:sdt>
        <w:sdtPr>
          <w:tag w:val="goog_rdk_199"/>
          <w:id w:val="2021738271"/>
        </w:sdtPr>
        <w:sdtContent>
          <w:r w:rsidR="007D0776" w:rsidRPr="00C539F5">
            <w:rPr>
              <w:color w:val="000000"/>
            </w:rPr>
            <w:t xml:space="preserve">Parameters are raw, unconverted values directly from </w:t>
          </w:r>
          <w:proofErr w:type="spellStart"/>
          <w:r w:rsidR="007D0776" w:rsidRPr="00C539F5">
            <w:rPr>
              <w:color w:val="000000"/>
            </w:rPr>
            <w:t>δaδi</w:t>
          </w:r>
          <w:proofErr w:type="spellEnd"/>
          <w:r w:rsidR="007D0776" w:rsidRPr="00C539F5">
            <w:rPr>
              <w:color w:val="000000"/>
            </w:rPr>
            <w:t xml:space="preserve"> analyses.</w:t>
          </w:r>
        </w:sdtContent>
      </w:sdt>
    </w:p>
    <w:p w:rsidR="00D13341" w:rsidRDefault="00D13341"/>
    <w:p w:rsidR="00D13341" w:rsidRDefault="00D13341"/>
    <w:p w:rsidR="00D13341" w:rsidRDefault="00D13341"/>
    <w:p w:rsidR="00D13341" w:rsidRDefault="00D13341"/>
    <w:p w:rsidR="00D13341" w:rsidRDefault="00D13341"/>
    <w:p w:rsidR="00D13341" w:rsidRDefault="00077733">
      <w:pPr>
        <w:keepNext/>
      </w:pPr>
      <w:r>
        <w:rPr>
          <w:noProof/>
        </w:rPr>
        <w:drawing>
          <wp:inline distT="114300" distB="114300" distL="114300" distR="114300">
            <wp:extent cx="5943600" cy="6438900"/>
            <wp:effectExtent l="0" t="0" r="0" b="0"/>
            <wp:docPr id="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341" w:rsidRDefault="00077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4F81BD"/>
          <w:sz w:val="18"/>
          <w:szCs w:val="18"/>
        </w:rPr>
      </w:pPr>
      <w:r>
        <w:rPr>
          <w:color w:val="000000"/>
        </w:rPr>
        <w:t xml:space="preserve">Figure S4: Estimates of </w:t>
      </w:r>
      <w:r>
        <w:rPr>
          <w:i/>
          <w:color w:val="000000"/>
        </w:rPr>
        <w:t xml:space="preserve">T </w:t>
      </w:r>
      <w:r>
        <w:rPr>
          <w:color w:val="000000"/>
        </w:rPr>
        <w:t xml:space="preserve">(time since divergence) at varying sample sizes in eight lineages </w:t>
      </w:r>
      <w:r>
        <w:t xml:space="preserve">(vertical axis is </w:t>
      </w:r>
      <w:r>
        <w:rPr>
          <w:i/>
        </w:rPr>
        <w:t>T</w:t>
      </w:r>
      <w:r>
        <w:t>, and horizontal axis is sample size as number of individuals)</w:t>
      </w:r>
      <w:r>
        <w:rPr>
          <w:color w:val="000000"/>
        </w:rPr>
        <w:t>.</w:t>
      </w:r>
      <w:r w:rsidR="007D0776">
        <w:rPr>
          <w:color w:val="000000"/>
        </w:rPr>
        <w:t xml:space="preserve"> </w:t>
      </w:r>
      <w:sdt>
        <w:sdtPr>
          <w:tag w:val="goog_rdk_199"/>
          <w:id w:val="-962033372"/>
        </w:sdtPr>
        <w:sdtContent>
          <w:r w:rsidR="007D0776" w:rsidRPr="00C539F5">
            <w:rPr>
              <w:color w:val="000000"/>
            </w:rPr>
            <w:t xml:space="preserve">Parameters are raw, unconverted values directly from </w:t>
          </w:r>
          <w:proofErr w:type="spellStart"/>
          <w:r w:rsidR="007D0776" w:rsidRPr="00C539F5">
            <w:rPr>
              <w:color w:val="000000"/>
            </w:rPr>
            <w:t>δaδi</w:t>
          </w:r>
          <w:proofErr w:type="spellEnd"/>
          <w:r w:rsidR="007D0776" w:rsidRPr="00C539F5">
            <w:rPr>
              <w:color w:val="000000"/>
            </w:rPr>
            <w:t xml:space="preserve"> analyses.</w:t>
          </w:r>
        </w:sdtContent>
      </w:sdt>
    </w:p>
    <w:p w:rsidR="00D13341" w:rsidRDefault="00D13341">
      <w:pPr>
        <w:spacing w:line="240" w:lineRule="auto"/>
        <w:ind w:left="720" w:hanging="720"/>
      </w:pPr>
    </w:p>
    <w:p w:rsidR="00D13341" w:rsidRDefault="00D13341">
      <w:pPr>
        <w:spacing w:line="240" w:lineRule="auto"/>
        <w:ind w:left="720" w:hanging="720"/>
      </w:pPr>
    </w:p>
    <w:p w:rsidR="00D13341" w:rsidRDefault="00D13341">
      <w:pPr>
        <w:spacing w:line="240" w:lineRule="auto"/>
        <w:ind w:left="720" w:hanging="720"/>
      </w:pPr>
    </w:p>
    <w:p w:rsidR="00D13341" w:rsidRDefault="00077733">
      <w:pPr>
        <w:keepNext/>
        <w:spacing w:line="240" w:lineRule="auto"/>
        <w:ind w:left="720" w:hanging="720"/>
      </w:pPr>
      <w:r>
        <w:rPr>
          <w:noProof/>
        </w:rPr>
        <w:lastRenderedPageBreak/>
        <w:drawing>
          <wp:inline distT="114300" distB="114300" distL="114300" distR="114300">
            <wp:extent cx="5943600" cy="7315200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341" w:rsidRDefault="00077733">
      <w:pPr>
        <w:rPr>
          <w:b/>
        </w:rPr>
      </w:pPr>
      <w:r>
        <w:t xml:space="preserve">Figure S5: Estimates of </w:t>
      </w:r>
      <w:r>
        <w:rPr>
          <w:i/>
        </w:rPr>
        <w:t xml:space="preserve">Θ </w:t>
      </w:r>
      <w:r>
        <w:t>(4</w:t>
      </w:r>
      <w:r>
        <w:rPr>
          <w:i/>
        </w:rPr>
        <w:t>N</w:t>
      </w:r>
      <w:r>
        <w:rPr>
          <w:i/>
          <w:vertAlign w:val="subscript"/>
        </w:rPr>
        <w:t>ref</w:t>
      </w:r>
      <w:r>
        <w:rPr>
          <w:i/>
        </w:rPr>
        <w:t>μ</w:t>
      </w:r>
      <w:r>
        <w:t xml:space="preserve">) at varying sample sizes in eight lineages (vertical axis is </w:t>
      </w:r>
      <w:r>
        <w:rPr>
          <w:i/>
        </w:rPr>
        <w:t>Θ</w:t>
      </w:r>
      <w:r>
        <w:t>, and horizontal axis is sample size as number of individuals)</w:t>
      </w:r>
      <w:r>
        <w:rPr>
          <w:b/>
        </w:rPr>
        <w:t>.</w:t>
      </w:r>
      <w:r w:rsidR="007D0776">
        <w:rPr>
          <w:b/>
        </w:rPr>
        <w:t xml:space="preserve"> </w:t>
      </w:r>
      <w:sdt>
        <w:sdtPr>
          <w:tag w:val="goog_rdk_199"/>
          <w:id w:val="2033606806"/>
        </w:sdtPr>
        <w:sdtContent>
          <w:r w:rsidR="007D0776" w:rsidRPr="00C539F5">
            <w:rPr>
              <w:color w:val="000000"/>
            </w:rPr>
            <w:t xml:space="preserve">Parameters are raw, unconverted values directly from </w:t>
          </w:r>
          <w:proofErr w:type="spellStart"/>
          <w:r w:rsidR="007D0776" w:rsidRPr="00C539F5">
            <w:rPr>
              <w:color w:val="000000"/>
            </w:rPr>
            <w:t>δaδi</w:t>
          </w:r>
          <w:proofErr w:type="spellEnd"/>
          <w:r w:rsidR="007D0776" w:rsidRPr="00C539F5">
            <w:rPr>
              <w:color w:val="000000"/>
            </w:rPr>
            <w:t xml:space="preserve"> analyses.</w:t>
          </w:r>
        </w:sdtContent>
      </w:sdt>
      <w:r w:rsidR="007D0776">
        <w:t xml:space="preserve"> </w:t>
      </w:r>
      <w:bookmarkStart w:id="2" w:name="_GoBack"/>
      <w:bookmarkEnd w:id="2"/>
      <w:r>
        <w:br w:type="page"/>
      </w:r>
    </w:p>
    <w:p w:rsidR="00D13341" w:rsidRDefault="00077733">
      <w:pPr>
        <w:spacing w:after="240"/>
      </w:pPr>
      <w:r>
        <w:rPr>
          <w:b/>
        </w:rPr>
        <w:lastRenderedPageBreak/>
        <w:t xml:space="preserve">Figure S6. </w:t>
      </w:r>
      <w:r>
        <w:t>Parameter-specific scaled root mean square error (SRMSE) values plotted against sample size (</w:t>
      </w:r>
      <w:r>
        <w:rPr>
          <w:i/>
        </w:rPr>
        <w:t>N</w:t>
      </w:r>
      <w:r>
        <w:t>). Note that vertical scales vary in each panel.</w:t>
      </w:r>
    </w:p>
    <w:p w:rsidR="00D13341" w:rsidRDefault="00077733">
      <w:pPr>
        <w:spacing w:before="240" w:after="24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  <w:t xml:space="preserve">Low-divergence lineages                                         </w:t>
      </w:r>
      <w:r>
        <w:rPr>
          <w:b/>
        </w:rPr>
        <w:tab/>
        <w:t>High-divergence lineages</w:t>
      </w:r>
    </w:p>
    <w:p w:rsidR="00D13341" w:rsidRDefault="00077733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791200" cy="60579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5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341" w:rsidRDefault="00077733">
      <w:pPr>
        <w:spacing w:before="240" w:after="240"/>
        <w:rPr>
          <w:b/>
        </w:rPr>
      </w:pPr>
      <w:r>
        <w:br w:type="page"/>
      </w:r>
    </w:p>
    <w:p w:rsidR="00D13341" w:rsidRDefault="00077733">
      <w:pPr>
        <w:spacing w:before="240" w:after="240"/>
      </w:pPr>
      <w:r>
        <w:rPr>
          <w:b/>
        </w:rPr>
        <w:lastRenderedPageBreak/>
        <w:t xml:space="preserve">Figure S6, continued. </w:t>
      </w:r>
      <w:r>
        <w:t>Parameter-specific scaled root mean square error (SRMSE) values plotted against sample size (</w:t>
      </w:r>
      <w:r>
        <w:rPr>
          <w:i/>
        </w:rPr>
        <w:t>N</w:t>
      </w:r>
      <w:r>
        <w:t>). Note that vertical scales vary in each panel.</w:t>
      </w:r>
    </w:p>
    <w:p w:rsidR="00D13341" w:rsidRDefault="00077733">
      <w:pPr>
        <w:spacing w:before="240" w:after="240"/>
        <w:rPr>
          <w:b/>
        </w:rPr>
      </w:pPr>
      <w:r>
        <w:rPr>
          <w:b/>
        </w:rPr>
        <w:t xml:space="preserve">Low-divergence lineages                                         </w:t>
      </w:r>
      <w:r>
        <w:rPr>
          <w:b/>
        </w:rPr>
        <w:tab/>
        <w:t>High-divergence lineages</w:t>
      </w:r>
    </w:p>
    <w:p w:rsidR="00D13341" w:rsidRDefault="00077733">
      <w:pPr>
        <w:spacing w:before="240" w:after="24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715000" cy="38290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13341" w:rsidRDefault="00D13341">
      <w:pPr>
        <w:rPr>
          <w:b/>
        </w:rPr>
      </w:pPr>
    </w:p>
    <w:sectPr w:rsidR="00D1334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E3" w:rsidRDefault="00BA23E3">
      <w:pPr>
        <w:spacing w:after="0" w:line="240" w:lineRule="auto"/>
      </w:pPr>
      <w:r>
        <w:separator/>
      </w:r>
    </w:p>
  </w:endnote>
  <w:endnote w:type="continuationSeparator" w:id="0">
    <w:p w:rsidR="00BA23E3" w:rsidRDefault="00B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41" w:rsidRDefault="000777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301D">
      <w:rPr>
        <w:noProof/>
        <w:color w:val="000000"/>
      </w:rPr>
      <w:t>1</w:t>
    </w:r>
    <w:r>
      <w:rPr>
        <w:color w:val="000000"/>
      </w:rPr>
      <w:fldChar w:fldCharType="end"/>
    </w:r>
  </w:p>
  <w:p w:rsidR="00D13341" w:rsidRDefault="00D133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E3" w:rsidRDefault="00BA23E3">
      <w:pPr>
        <w:spacing w:after="0" w:line="240" w:lineRule="auto"/>
      </w:pPr>
      <w:r>
        <w:separator/>
      </w:r>
    </w:p>
  </w:footnote>
  <w:footnote w:type="continuationSeparator" w:id="0">
    <w:p w:rsidR="00BA23E3" w:rsidRDefault="00BA2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41"/>
    <w:rsid w:val="00077733"/>
    <w:rsid w:val="00170EAD"/>
    <w:rsid w:val="003D2C45"/>
    <w:rsid w:val="00407B9F"/>
    <w:rsid w:val="004947F3"/>
    <w:rsid w:val="004D0B27"/>
    <w:rsid w:val="00556D80"/>
    <w:rsid w:val="005864E5"/>
    <w:rsid w:val="007D0776"/>
    <w:rsid w:val="007F301D"/>
    <w:rsid w:val="0089408D"/>
    <w:rsid w:val="00895D73"/>
    <w:rsid w:val="00A77F5E"/>
    <w:rsid w:val="00B554AB"/>
    <w:rsid w:val="00BA23E3"/>
    <w:rsid w:val="00BF6C2A"/>
    <w:rsid w:val="00D13341"/>
    <w:rsid w:val="00DB32F2"/>
    <w:rsid w:val="00EC5721"/>
    <w:rsid w:val="00F4458F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A754"/>
  <w15:docId w15:val="{C9BFF2AC-05E7-4A81-A735-1C9957B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lPzM9a/McqJ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lPzM9a/d0Fd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paperpile.com/c/lPzM9a/2zsk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Yngve's Delousing</dc:creator>
  <cp:lastModifiedBy>Kevin Winker</cp:lastModifiedBy>
  <cp:revision>2</cp:revision>
  <dcterms:created xsi:type="dcterms:W3CDTF">2020-07-14T23:07:00Z</dcterms:created>
  <dcterms:modified xsi:type="dcterms:W3CDTF">2020-07-14T23:07:00Z</dcterms:modified>
</cp:coreProperties>
</file>