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</w:p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Table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S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  <w:t>7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:</w:t>
      </w:r>
    </w:p>
    <w:p>
      <w:pPr>
        <w:ind w:firstLine="482" w:firstLineChars="200"/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 Statistics of known and new transcripts in each 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  <w:t>sample</w:t>
      </w:r>
      <w:bookmarkStart w:id="2" w:name="_GoBack"/>
      <w:bookmarkEnd w:id="2"/>
    </w:p>
    <w:tbl>
      <w:tblPr>
        <w:tblStyle w:val="5"/>
        <w:tblW w:w="8482" w:type="dxa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10"/>
        <w:gridCol w:w="2126"/>
        <w:gridCol w:w="2157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89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  <w:insideV w:val="nil"/>
            </w:tcBorders>
          </w:tcPr>
          <w:p>
            <w:pPr>
              <w:adjustRightInd/>
              <w:snapToGrid/>
              <w:spacing w:before="0"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  <w:t>Sample Name</w:t>
            </w:r>
          </w:p>
        </w:tc>
        <w:tc>
          <w:tcPr>
            <w:tcW w:w="2410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</w:tcPr>
          <w:p>
            <w:pPr>
              <w:adjustRightInd/>
              <w:snapToGrid/>
              <w:spacing w:before="0"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  <w:t>Known mRNA Num</w:t>
            </w:r>
          </w:p>
        </w:tc>
        <w:tc>
          <w:tcPr>
            <w:tcW w:w="2126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</w:tcPr>
          <w:p>
            <w:pPr>
              <w:adjustRightInd/>
              <w:snapToGrid/>
              <w:spacing w:before="0"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  <w:t>New mRNA Num</w:t>
            </w:r>
          </w:p>
        </w:tc>
        <w:tc>
          <w:tcPr>
            <w:tcW w:w="2157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</w:tcPr>
          <w:p>
            <w:pPr>
              <w:adjustRightInd/>
              <w:snapToGrid/>
              <w:spacing w:before="0"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  <w:t>All mRNA Num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  <w:tcBorders>
              <w:top w:val="single" w:color="auto" w:sz="12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A1-L</w:t>
            </w:r>
          </w:p>
        </w:tc>
        <w:tc>
          <w:tcPr>
            <w:tcW w:w="2410" w:type="dxa"/>
            <w:tcBorders>
              <w:top w:val="single" w:color="auto" w:sz="12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27763 (65.04%)</w:t>
            </w:r>
          </w:p>
        </w:tc>
        <w:tc>
          <w:tcPr>
            <w:tcW w:w="2126" w:type="dxa"/>
            <w:tcBorders>
              <w:top w:val="single" w:color="auto" w:sz="12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7355</w:t>
            </w:r>
          </w:p>
        </w:tc>
        <w:tc>
          <w:tcPr>
            <w:tcW w:w="2157" w:type="dxa"/>
            <w:tcBorders>
              <w:top w:val="single" w:color="auto" w:sz="12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35118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A2-L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26710 (62.57%)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6778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33488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A3-L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28581 (66.96%)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7549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36130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B3-L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26068 (61.07%)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6821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32889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B4-L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25347 (59.38%)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6544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31891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B5-L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25819 (60.49%)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6658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32477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C2-L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25075 (58.74%)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6504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31579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C3-L</w:t>
            </w:r>
          </w:p>
        </w:tc>
        <w:tc>
          <w:tcPr>
            <w:tcW w:w="2410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23988 (56.20%)</w:t>
            </w:r>
          </w:p>
        </w:tc>
        <w:tc>
          <w:tcPr>
            <w:tcW w:w="2126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6107</w:t>
            </w:r>
          </w:p>
        </w:tc>
        <w:tc>
          <w:tcPr>
            <w:tcW w:w="2157" w:type="dxa"/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30095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9" w:type="dxa"/>
            <w:tcBorders>
              <w:bottom w:val="single" w:color="auto" w:sz="18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  <w:t>C5-L</w:t>
            </w:r>
          </w:p>
        </w:tc>
        <w:tc>
          <w:tcPr>
            <w:tcW w:w="2410" w:type="dxa"/>
            <w:tcBorders>
              <w:bottom w:val="single" w:color="auto" w:sz="18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23946 (56.10%)</w:t>
            </w:r>
          </w:p>
        </w:tc>
        <w:tc>
          <w:tcPr>
            <w:tcW w:w="2126" w:type="dxa"/>
            <w:tcBorders>
              <w:bottom w:val="single" w:color="auto" w:sz="18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6080</w:t>
            </w:r>
          </w:p>
        </w:tc>
        <w:tc>
          <w:tcPr>
            <w:tcW w:w="2157" w:type="dxa"/>
            <w:tcBorders>
              <w:bottom w:val="single" w:color="auto" w:sz="18" w:space="0"/>
            </w:tcBorders>
          </w:tcPr>
          <w:p>
            <w:pPr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  <w:t>30026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 w:eastAsiaTheme="minorEastAsia"/>
          <w:sz w:val="24"/>
          <w:szCs w:val="24"/>
        </w:rPr>
        <w:t>A1-L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A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2</w:t>
      </w:r>
      <w:r>
        <w:rPr>
          <w:rFonts w:ascii="Times New Roman" w:hAnsi="Times New Roman" w:cs="Times New Roman" w:eastAsiaTheme="minorEastAsia"/>
          <w:sz w:val="24"/>
          <w:szCs w:val="24"/>
        </w:rPr>
        <w:t>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A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3</w:t>
      </w:r>
      <w:r>
        <w:rPr>
          <w:rFonts w:ascii="Times New Roman" w:hAnsi="Times New Roman" w:cs="Times New Roman" w:eastAsiaTheme="minorEastAsia"/>
          <w:sz w:val="24"/>
          <w:szCs w:val="24"/>
        </w:rPr>
        <w:t>-L were the samples for goat of 1-month-old (group A), B3-L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>B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4</w:t>
      </w:r>
      <w:r>
        <w:rPr>
          <w:rFonts w:ascii="Times New Roman" w:hAnsi="Times New Roman" w:cs="Times New Roman" w:eastAsiaTheme="minorEastAsia"/>
          <w:sz w:val="24"/>
          <w:szCs w:val="24"/>
        </w:rPr>
        <w:t>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>B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5</w:t>
      </w:r>
      <w:r>
        <w:rPr>
          <w:rFonts w:ascii="Times New Roman" w:hAnsi="Times New Roman" w:cs="Times New Roman" w:eastAsiaTheme="minorEastAsia"/>
          <w:sz w:val="24"/>
          <w:szCs w:val="24"/>
        </w:rPr>
        <w:t>-L were the samples for goat of 12-month-old (group B ), C2-L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>C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3</w:t>
      </w:r>
      <w:r>
        <w:rPr>
          <w:rFonts w:ascii="Times New Roman" w:hAnsi="Times New Roman" w:cs="Times New Roman" w:eastAsiaTheme="minorEastAsia"/>
          <w:sz w:val="24"/>
          <w:szCs w:val="24"/>
        </w:rPr>
        <w:t>-L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、</w:t>
      </w:r>
      <w:r>
        <w:rPr>
          <w:rFonts w:ascii="Times New Roman" w:hAnsi="Times New Roman" w:cs="Times New Roman" w:eastAsiaTheme="minorEastAsia"/>
          <w:sz w:val="24"/>
          <w:szCs w:val="24"/>
        </w:rPr>
        <w:t>C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5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-L were the samples for goat of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24</w:t>
      </w:r>
      <w:r>
        <w:rPr>
          <w:rFonts w:ascii="Times New Roman" w:hAnsi="Times New Roman" w:cs="Times New Roman" w:eastAsiaTheme="minorEastAsia"/>
          <w:sz w:val="24"/>
          <w:szCs w:val="24"/>
        </w:rPr>
        <w:t>-month-old (group C).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</w:t>
      </w:r>
    </w:p>
    <w:bookmarkEnd w:id="0"/>
    <w:bookmarkEnd w:id="1"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1F2"/>
    <w:rsid w:val="001211A2"/>
    <w:rsid w:val="00127432"/>
    <w:rsid w:val="00254204"/>
    <w:rsid w:val="002D0660"/>
    <w:rsid w:val="00323B43"/>
    <w:rsid w:val="003D37D8"/>
    <w:rsid w:val="00426133"/>
    <w:rsid w:val="004358AB"/>
    <w:rsid w:val="004B3EDF"/>
    <w:rsid w:val="004F584A"/>
    <w:rsid w:val="005A7E30"/>
    <w:rsid w:val="007766E4"/>
    <w:rsid w:val="007C356A"/>
    <w:rsid w:val="008B7726"/>
    <w:rsid w:val="00915900"/>
    <w:rsid w:val="00AE2FEF"/>
    <w:rsid w:val="00B11605"/>
    <w:rsid w:val="00B35450"/>
    <w:rsid w:val="00B43D0A"/>
    <w:rsid w:val="00B47F2D"/>
    <w:rsid w:val="00B60C27"/>
    <w:rsid w:val="00C44F62"/>
    <w:rsid w:val="00D1598A"/>
    <w:rsid w:val="00D31D50"/>
    <w:rsid w:val="00D612E6"/>
    <w:rsid w:val="00DA1C9D"/>
    <w:rsid w:val="00DE706D"/>
    <w:rsid w:val="00E82946"/>
    <w:rsid w:val="00F723EE"/>
    <w:rsid w:val="00FE7498"/>
    <w:rsid w:val="2C111D7A"/>
    <w:rsid w:val="3E976E50"/>
    <w:rsid w:val="41D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Light Shading"/>
    <w:basedOn w:val="4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">
    <w:name w:val="Light Shading Accent 1"/>
    <w:basedOn w:val="4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8">
    <w:name w:val="页眉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63</TotalTime>
  <ScaleCrop>false</ScaleCrop>
  <LinksUpToDate>false</LinksUpToDate>
  <CharactersWithSpaces>615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allie</cp:lastModifiedBy>
  <dcterms:modified xsi:type="dcterms:W3CDTF">2020-05-22T16:50:15Z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