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39" w:tblpY="848"/>
        <w:tblOverlap w:val="never"/>
        <w:tblW w:w="1605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661"/>
        <w:gridCol w:w="1643"/>
        <w:gridCol w:w="1357"/>
        <w:gridCol w:w="240"/>
        <w:gridCol w:w="1724"/>
        <w:gridCol w:w="1679"/>
        <w:gridCol w:w="1482"/>
        <w:gridCol w:w="240"/>
        <w:gridCol w:w="1653"/>
        <w:gridCol w:w="1660"/>
        <w:gridCol w:w="15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vMerge w:val="restart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  <w:t>Item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  <w:t>Time 2015 (Mean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</w:rPr>
              <w:t>±SE)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8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  <w:t>Time 2016 (Mean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</w:rPr>
              <w:t>±SE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813" w:type="dxa"/>
            <w:gridSpan w:val="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  <w:t>Time 2017 (Mean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</w:rPr>
              <w:t>±SE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华文仿宋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 xml:space="preserve">TY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(g/kg)</w:t>
            </w:r>
          </w:p>
        </w:tc>
        <w:tc>
          <w:tcPr>
            <w:tcW w:w="1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105" w:rightChars="-50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sub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(g/kg)</w:t>
            </w: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 xml:space="preserve">BE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(%)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 xml:space="preserve">TY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(g/kg)</w:t>
            </w: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105" w:rightChars="-50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sub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(g/kg)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 xml:space="preserve">BE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(%)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 xml:space="preserve">TY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(g/kg)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105" w:rightChars="-50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T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sub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(g/kg)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 xml:space="preserve">BE 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  <w:t>CS</w:t>
            </w:r>
          </w:p>
        </w:tc>
        <w:tc>
          <w:tcPr>
            <w:tcW w:w="166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618.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±30.80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3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481.5±26.62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7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77.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±0.69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601.4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63.34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79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520.7±45.50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ab</w:t>
            </w:r>
          </w:p>
        </w:tc>
        <w:tc>
          <w:tcPr>
            <w:tcW w:w="148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7.1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2.21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570.0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23.68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501.5±25.69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</w:t>
            </w:r>
          </w:p>
        </w:tc>
        <w:tc>
          <w:tcPr>
            <w:tcW w:w="1500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88.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5.49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  <w:t>WS</w:t>
            </w:r>
          </w:p>
        </w:tc>
        <w:tc>
          <w:tcPr>
            <w:tcW w:w="1661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517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28.51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ab</w:t>
            </w:r>
          </w:p>
        </w:tc>
        <w:tc>
          <w:tcPr>
            <w:tcW w:w="1643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7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±1.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240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609.0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25.94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79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552.7±16.33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</w:t>
            </w:r>
          </w:p>
        </w:tc>
        <w:tc>
          <w:tcPr>
            <w:tcW w:w="1482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90.9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1.63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0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582.9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10.73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501.2±20.17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</w:t>
            </w:r>
          </w:p>
        </w:tc>
        <w:tc>
          <w:tcPr>
            <w:tcW w:w="1500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8.0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3.45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  <w:t>RS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564.5±15.60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515.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±11.02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91.4±1.33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53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36.92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427.9±35.13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ab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80.4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1.99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565.5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37.41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502.0±35.92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88.7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1.97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  <w:t>CC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462.4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±26.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b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354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.5±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4.53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77.3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3.78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531.0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41.29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418.2±37.77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78.8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4.27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i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500.8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30.21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365.7±35.15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72.6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2.88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a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389.9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11.68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cd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11.50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63.1±1.23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346.9±20.39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231.4±7.18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74.0±2.94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i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374.5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36.44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b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224.1±17.05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60.4±3.06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322.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±18.57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d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245.2±11.37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76.4±2.77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288.9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±1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7.93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223.3±12.46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77.4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1.3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ab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i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28.97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283.2±27.96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bc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82.9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±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7.18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" w:rightChars="20"/>
              <w:jc w:val="center"/>
              <w:rPr>
                <w:rFonts w:hint="default" w:ascii="Times New Roman" w:hAnsi="Times New Roman" w:eastAsia="华文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 w:val="0"/>
                <w:iCs/>
                <w:sz w:val="24"/>
                <w:szCs w:val="24"/>
              </w:rPr>
              <w:t>ANOVA</w:t>
            </w:r>
            <w:r>
              <w:rPr>
                <w:rFonts w:hint="default" w:ascii="Times New Roman" w:hAnsi="Times New Roman" w:eastAsia="华文仿宋" w:cs="Times New Roman"/>
                <w:b/>
                <w:bCs w:val="0"/>
                <w:i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22.95**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44.41**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17.25**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13.12**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22.75**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6.04**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12.96**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19.41**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>6.55**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156" w:beforeAutospacing="0" w:after="0" w:afterAutospacing="0" w:line="480" w:lineRule="auto"/>
        <w:ind w:left="0" w:right="0" w:firstLine="0"/>
        <w:jc w:val="both"/>
        <w:outlineLvl w:val="9"/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lang w:val="en-US" w:eastAsia="zh-CN"/>
        </w:rPr>
      </w:pPr>
      <w:r>
        <w:rPr>
          <w:rFonts w:hint="default" w:ascii="Times New Roman" w:hAnsi="Times New Roman" w:eastAsia="Arial Unicode MS" w:cs="Times New Roman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 w:eastAsia="zh-CN"/>
        </w:rPr>
        <w:t>S3</w:t>
      </w:r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 w:eastAsia="zh-CN"/>
        </w:rPr>
        <w:t xml:space="preserve"> </w:t>
      </w:r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Analysis of mushr</w:t>
      </w:r>
      <w:bookmarkStart w:id="0" w:name="_GoBack"/>
      <w:bookmarkEnd w:id="0"/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oom yield (</w:t>
      </w:r>
      <w:r>
        <w:rPr>
          <w:rFonts w:hint="default" w:ascii="Times New Roman" w:hAnsi="Times New Roman" w:eastAsia="Arial Unicode MS" w:cs="Times New Roman"/>
          <w:i/>
          <w:iCs/>
          <w:color w:val="000000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Agaricus bisporus</w:t>
      </w:r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) cultured on six different </w:t>
      </w:r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 w:eastAsia="zh-CN"/>
        </w:rPr>
        <w:t>AS</w:t>
      </w:r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-based substances </w:t>
      </w:r>
      <w:r>
        <w:rPr>
          <w:rFonts w:hint="default" w:ascii="Times New Roman" w:hAnsi="Times New Roman" w:eastAsia="Arial Unicode MS" w:cs="Times New Roman"/>
          <w:color w:val="000000"/>
          <w:spacing w:val="0"/>
          <w:w w:val="100"/>
          <w:kern w:val="2"/>
          <w:position w:val="0"/>
          <w:sz w:val="24"/>
          <w:szCs w:val="24"/>
          <w:u w:val="none" w:color="000000"/>
          <w:vertAlign w:val="baseline"/>
          <w:rtl w:val="0"/>
          <w:lang w:val="en-US" w:eastAsia="zh-CN"/>
        </w:rPr>
        <w:t>in three years</w:t>
      </w:r>
    </w:p>
    <w:p>
      <w:pPr>
        <w:pStyle w:val="4"/>
        <w:ind w:right="42"/>
        <w:rPr>
          <w:rStyle w:val="5"/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  <w:vertAlign w:val="superscript"/>
        </w:rPr>
        <w:t>a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Data were expressed as mean ± standard 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error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 (n=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10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). The data in the same column marked with different small case letters are significantly </w:t>
      </w:r>
    </w:p>
    <w:p>
      <w:pPr>
        <w:pStyle w:val="4"/>
        <w:ind w:right="42"/>
        <w:rPr>
          <w:rStyle w:val="5"/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different(Tukey’s HSD, </w:t>
      </w:r>
      <w:r>
        <w:rPr>
          <w:rStyle w:val="5"/>
          <w:rFonts w:hint="default" w:ascii="Times New Roman" w:hAnsi="Times New Roman" w:eastAsia="宋体" w:cs="Times New Roman"/>
          <w:i/>
          <w:iCs/>
          <w:color w:val="auto"/>
          <w:kern w:val="0"/>
          <w:sz w:val="24"/>
          <w:szCs w:val="24"/>
        </w:rPr>
        <w:t>p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&lt;0.05).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  <w:vertAlign w:val="superscript"/>
        </w:rPr>
        <w:t>b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 </w:t>
      </w:r>
      <w:r>
        <w:rPr>
          <w:rStyle w:val="5"/>
          <w:rFonts w:hint="default" w:ascii="Times New Roman" w:hAnsi="Times New Roman" w:eastAsia="宋体" w:cs="Times New Roman"/>
          <w:i/>
          <w:iCs/>
          <w:color w:val="auto"/>
          <w:kern w:val="0"/>
          <w:sz w:val="24"/>
          <w:szCs w:val="24"/>
        </w:rPr>
        <w:t>F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 value in 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one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 xml:space="preserve">-way ANOVA: </w:t>
      </w:r>
      <w:r>
        <w:rPr>
          <w:rStyle w:val="5"/>
          <w:rFonts w:hint="default" w:ascii="Times New Roman" w:hAnsi="Times New Roman" w:eastAsia="宋体" w:cs="Times New Roman"/>
          <w:i/>
          <w:iCs/>
          <w:color w:val="auto"/>
          <w:kern w:val="0"/>
          <w:sz w:val="24"/>
          <w:szCs w:val="24"/>
        </w:rPr>
        <w:t>p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&lt;0.05 (*) or 0.01 (**)</w:t>
      </w:r>
    </w:p>
    <w:p/>
    <w:sectPr>
      <w:pgSz w:w="16838" w:h="11906" w:orient="landscape"/>
      <w:pgMar w:top="1800" w:right="1440" w:bottom="1800" w:left="144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85474"/>
    <w:rsid w:val="786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en-US" w:bidi="ar-SA"/>
    </w:rPr>
  </w:style>
  <w:style w:type="character" w:customStyle="1" w:styleId="5">
    <w:name w:val="Non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2020-09-28T11:00:00Z</dcterms:created>
  <dc:creator>tina</dc:creator>
  <cp:lastModifiedBy>tina</cp:lastModifiedBy>
  <dcterms:modified xsi:type="dcterms:W3CDTF">2020-09-28T11:01:14Z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