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51"/>
        <w:tblW w:w="0" w:type="auto"/>
        <w:tblLook w:val="0620" w:firstRow="1" w:lastRow="0" w:firstColumn="0" w:lastColumn="0" w:noHBand="1" w:noVBand="1"/>
      </w:tblPr>
      <w:tblGrid>
        <w:gridCol w:w="1971"/>
        <w:gridCol w:w="3266"/>
        <w:gridCol w:w="1421"/>
        <w:gridCol w:w="1310"/>
      </w:tblGrid>
      <w:tr w:rsidR="005F4CCC" w:rsidRPr="00C23BAC" w:rsidTr="00AC1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71" w:type="dxa"/>
            <w:noWrap/>
          </w:tcPr>
          <w:p w:rsidR="005F4CCC" w:rsidRPr="00C23BAC" w:rsidRDefault="005F4CCC" w:rsidP="00AC10FC">
            <w:pPr>
              <w:spacing w:line="276" w:lineRule="auto"/>
              <w:rPr>
                <w:rFonts w:ascii="Times" w:hAnsi="Times" w:cs="Times"/>
                <w:b/>
                <w:i w:val="0"/>
                <w:sz w:val="24"/>
                <w:szCs w:val="24"/>
              </w:rPr>
            </w:pPr>
            <w:r w:rsidRPr="00C23BAC">
              <w:rPr>
                <w:rFonts w:ascii="Times" w:hAnsi="Times" w:cs="Times"/>
                <w:b/>
                <w:i w:val="0"/>
                <w:sz w:val="24"/>
                <w:szCs w:val="24"/>
              </w:rPr>
              <w:t>Family</w:t>
            </w:r>
          </w:p>
        </w:tc>
        <w:tc>
          <w:tcPr>
            <w:tcW w:w="3266" w:type="dxa"/>
            <w:noWrap/>
          </w:tcPr>
          <w:p w:rsidR="005F4CCC" w:rsidRPr="00C23BAC" w:rsidRDefault="005F4CCC" w:rsidP="00AC10FC">
            <w:pPr>
              <w:spacing w:line="276" w:lineRule="auto"/>
              <w:rPr>
                <w:rFonts w:ascii="Times" w:hAnsi="Times" w:cs="Times"/>
                <w:b/>
                <w:i w:val="0"/>
                <w:sz w:val="24"/>
                <w:szCs w:val="24"/>
              </w:rPr>
            </w:pPr>
            <w:r w:rsidRPr="00C23BAC">
              <w:rPr>
                <w:rFonts w:ascii="Times" w:hAnsi="Times" w:cs="Times"/>
                <w:b/>
                <w:i w:val="0"/>
                <w:sz w:val="24"/>
                <w:szCs w:val="24"/>
              </w:rPr>
              <w:t>Species</w:t>
            </w:r>
          </w:p>
        </w:tc>
        <w:tc>
          <w:tcPr>
            <w:tcW w:w="1421" w:type="dxa"/>
            <w:noWrap/>
          </w:tcPr>
          <w:p w:rsidR="005F4CCC" w:rsidRPr="00C23BAC" w:rsidRDefault="005F4CCC" w:rsidP="00AC10FC">
            <w:pPr>
              <w:spacing w:line="276" w:lineRule="auto"/>
              <w:rPr>
                <w:rFonts w:ascii="Times" w:hAnsi="Times" w:cs="Times"/>
                <w:b/>
                <w:i w:val="0"/>
                <w:sz w:val="24"/>
                <w:szCs w:val="24"/>
              </w:rPr>
            </w:pPr>
            <w:r w:rsidRPr="00C23BAC">
              <w:rPr>
                <w:rFonts w:ascii="Times" w:hAnsi="Times" w:cs="Times"/>
                <w:b/>
                <w:i w:val="0"/>
                <w:sz w:val="24"/>
                <w:szCs w:val="24"/>
              </w:rPr>
              <w:t>Abundance</w:t>
            </w:r>
          </w:p>
        </w:tc>
        <w:tc>
          <w:tcPr>
            <w:tcW w:w="1275" w:type="dxa"/>
            <w:noWrap/>
          </w:tcPr>
          <w:p w:rsidR="005F4CCC" w:rsidRPr="00C23BAC" w:rsidRDefault="005F4CCC" w:rsidP="00AC10FC">
            <w:pPr>
              <w:spacing w:line="276" w:lineRule="auto"/>
              <w:rPr>
                <w:rFonts w:ascii="Times" w:hAnsi="Times" w:cs="Times"/>
                <w:b/>
                <w:i w:val="0"/>
                <w:sz w:val="24"/>
                <w:szCs w:val="24"/>
              </w:rPr>
            </w:pPr>
            <w:r w:rsidRPr="00C23BAC">
              <w:rPr>
                <w:rFonts w:ascii="Times" w:hAnsi="Times" w:cs="Times"/>
                <w:b/>
                <w:i w:val="0"/>
                <w:sz w:val="24"/>
                <w:szCs w:val="24"/>
              </w:rPr>
              <w:t>Frequency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Hesperiidae</w:t>
            </w: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Carcharodus alceae</w:t>
            </w:r>
          </w:p>
        </w:tc>
        <w:tc>
          <w:tcPr>
            <w:tcW w:w="142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Carterocephalus palaemon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Erynnis tages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Hesperia comma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Heteropterus morpheus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Ochlodes sylvanus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Pyrgus malvae</w:t>
            </w: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/</w:t>
            </w: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malvoides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Pyrgus onopordi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Pyrgus</w:t>
            </w: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 sp.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Spialia sertorius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Thymelicus lineola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Lycaenidae</w:t>
            </w:r>
          </w:p>
        </w:tc>
        <w:tc>
          <w:tcPr>
            <w:tcW w:w="3266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915</w:t>
            </w:r>
          </w:p>
        </w:tc>
        <w:tc>
          <w:tcPr>
            <w:tcW w:w="1275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Aricia agestis</w:t>
            </w:r>
          </w:p>
        </w:tc>
        <w:tc>
          <w:tcPr>
            <w:tcW w:w="142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Callophrys rubi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9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Celastrina argiolus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Glaucopsyche alexis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Lycaena alciphron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Lycaena dispar</w:t>
            </w: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Lycaena phlaeas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Lycaena tityrus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Phengaris alcon</w:t>
            </w: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Plebejus argus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Plebejus argyrognomon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Plebejus idas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Polyommatus bellargus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Polyommatus coridon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Polyommatus dorylas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Polyommatus icarus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28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Pseudophilotes vicrama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Satyrium spini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Thecla betulae</w:t>
            </w: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Nymphalidae</w:t>
            </w:r>
          </w:p>
        </w:tc>
        <w:tc>
          <w:tcPr>
            <w:tcW w:w="3266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4061</w:t>
            </w:r>
          </w:p>
        </w:tc>
        <w:tc>
          <w:tcPr>
            <w:tcW w:w="1275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Aglais io</w:t>
            </w:r>
          </w:p>
        </w:tc>
        <w:tc>
          <w:tcPr>
            <w:tcW w:w="142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Aglais urticae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Apatura ilia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Aphantopus hyperantus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Argynnis paphia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Boloria dia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Brenthis hecate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Coenonympha arcania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24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Coenonympha oedippus</w:t>
            </w: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Coenonympha pamphilus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1022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Hipparchia fagi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Hipparchia semele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Issoria lathonia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9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Lasiommata megera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Maniola jurtina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Melanargia galathea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711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24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Melitaea athalia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Melitaea aurelia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Melitaea cinxia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Melitaea diamina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Melitaea didyma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Melitaea phoebe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Minois dryas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Pararge aegeria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Polygonia c-album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Pyronia tithonus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Satyrus ferula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Vanessa atalanta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Vanessa cardui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7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Papilionidae</w:t>
            </w:r>
          </w:p>
        </w:tc>
        <w:tc>
          <w:tcPr>
            <w:tcW w:w="3266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5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Iphiclides podalirius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Papilio machaon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24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Pieridae</w:t>
            </w:r>
          </w:p>
        </w:tc>
        <w:tc>
          <w:tcPr>
            <w:tcW w:w="3266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971</w:t>
            </w:r>
          </w:p>
        </w:tc>
        <w:tc>
          <w:tcPr>
            <w:tcW w:w="1275" w:type="dxa"/>
            <w:noWrap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Anthocharis cardamines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Colias alfacariensis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Colias croceus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Colias hyale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Cupido argiades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Cupido minimus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Gonepteryx rhamni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16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Leptidea sinapis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28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Pieris ergane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Pieris mannii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Pieris napi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21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Pieris rapae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33</w:t>
            </w:r>
          </w:p>
        </w:tc>
      </w:tr>
      <w:tr w:rsidR="005F4CCC" w:rsidRPr="00D64C98" w:rsidTr="00AC10FC">
        <w:trPr>
          <w:trHeight w:val="288"/>
        </w:trPr>
        <w:tc>
          <w:tcPr>
            <w:tcW w:w="197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266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i/>
                <w:color w:val="000000" w:themeColor="text1"/>
                <w:sz w:val="24"/>
                <w:szCs w:val="24"/>
              </w:rPr>
              <w:t>Pontia edusa</w:t>
            </w:r>
          </w:p>
        </w:tc>
        <w:tc>
          <w:tcPr>
            <w:tcW w:w="1421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275" w:type="dxa"/>
            <w:noWrap/>
            <w:hideMark/>
          </w:tcPr>
          <w:p w:rsidR="005F4CCC" w:rsidRPr="00D64C98" w:rsidRDefault="005F4CCC" w:rsidP="00AC10FC">
            <w:pPr>
              <w:spacing w:line="276" w:lineRule="auto"/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D64C98">
              <w:rPr>
                <w:rFonts w:ascii="Times" w:hAnsi="Times" w:cs="Times"/>
                <w:color w:val="000000" w:themeColor="text1"/>
                <w:sz w:val="24"/>
                <w:szCs w:val="24"/>
              </w:rPr>
              <w:t>26</w:t>
            </w:r>
          </w:p>
        </w:tc>
      </w:tr>
    </w:tbl>
    <w:p w:rsidR="007C1BA4" w:rsidRDefault="007C1BA4"/>
    <w:sectPr w:rsidR="007C1BA4" w:rsidSect="005F4CC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CC"/>
    <w:rsid w:val="005C7902"/>
    <w:rsid w:val="005F4CCC"/>
    <w:rsid w:val="007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285C0D-750F-4DDE-8BA0-3D61E1E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51">
    <w:name w:val="Tabella semplice 51"/>
    <w:basedOn w:val="Tabellanormale"/>
    <w:uiPriority w:val="45"/>
    <w:rsid w:val="005F4C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Cappellari</dc:creator>
  <cp:keywords/>
  <dc:description/>
  <cp:lastModifiedBy>Andree Cappellari</cp:lastModifiedBy>
  <cp:revision>1</cp:revision>
  <dcterms:created xsi:type="dcterms:W3CDTF">2020-08-24T12:41:00Z</dcterms:created>
  <dcterms:modified xsi:type="dcterms:W3CDTF">2020-08-24T12:41:00Z</dcterms:modified>
</cp:coreProperties>
</file>