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1BEE" w14:textId="77777777" w:rsidR="00183710" w:rsidRDefault="00183710" w:rsidP="00183710">
      <w:pPr>
        <w:pStyle w:val="Heading1"/>
      </w:pPr>
      <w:bookmarkStart w:id="0" w:name="_GoBack"/>
      <w:bookmarkEnd w:id="0"/>
      <w:r>
        <w:t>Appendices</w:t>
      </w:r>
    </w:p>
    <w:p w14:paraId="6E0A59F8" w14:textId="77777777" w:rsidR="00183710" w:rsidRPr="006E48BC" w:rsidRDefault="00183710" w:rsidP="00183710">
      <w:pPr>
        <w:pStyle w:val="Heading2"/>
      </w:pPr>
      <w:r w:rsidRPr="0068633A">
        <w:t>Appendix</w:t>
      </w:r>
      <w:r>
        <w:t xml:space="preserve"> 1: Agreement on domains and questions </w:t>
      </w:r>
    </w:p>
    <w:tbl>
      <w:tblPr>
        <w:tblW w:w="12265" w:type="dxa"/>
        <w:jc w:val="center"/>
        <w:tblLook w:val="04A0" w:firstRow="1" w:lastRow="0" w:firstColumn="1" w:lastColumn="0" w:noHBand="0" w:noVBand="1"/>
      </w:tblPr>
      <w:tblGrid>
        <w:gridCol w:w="760"/>
        <w:gridCol w:w="3479"/>
        <w:gridCol w:w="3766"/>
        <w:gridCol w:w="1267"/>
        <w:gridCol w:w="1267"/>
        <w:gridCol w:w="1267"/>
        <w:gridCol w:w="459"/>
      </w:tblGrid>
      <w:tr w:rsidR="00183710" w:rsidRPr="00815C88" w14:paraId="1B9F7388" w14:textId="77777777" w:rsidTr="00C50E48">
        <w:trPr>
          <w:gridAfter w:val="1"/>
          <w:wAfter w:w="723" w:type="dxa"/>
          <w:trHeight w:val="324"/>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6E24"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r w:rsidRPr="00815C88">
              <w:rPr>
                <w:rFonts w:ascii="Calibri" w:eastAsia="Times New Roman" w:hAnsi="Calibri" w:cs="Calibri"/>
                <w:b/>
                <w:bCs/>
                <w:color w:val="000000"/>
                <w:lang w:eastAsia="en-GB"/>
              </w:rPr>
              <w:t>Current version</w:t>
            </w:r>
          </w:p>
        </w:tc>
        <w:tc>
          <w:tcPr>
            <w:tcW w:w="3766" w:type="dxa"/>
            <w:tcBorders>
              <w:top w:val="single" w:sz="4" w:space="0" w:color="auto"/>
              <w:left w:val="nil"/>
              <w:bottom w:val="single" w:sz="4" w:space="0" w:color="auto"/>
              <w:right w:val="single" w:sz="4" w:space="0" w:color="auto"/>
            </w:tcBorders>
            <w:shd w:val="clear" w:color="auto" w:fill="auto"/>
            <w:noWrap/>
            <w:vAlign w:val="center"/>
            <w:hideMark/>
          </w:tcPr>
          <w:p w14:paraId="5CD0160C"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r w:rsidRPr="00815C88">
              <w:rPr>
                <w:rFonts w:ascii="Calibri" w:eastAsia="Times New Roman" w:hAnsi="Calibri" w:cs="Calibri"/>
                <w:b/>
                <w:bCs/>
                <w:color w:val="000000"/>
                <w:lang w:eastAsia="en-GB"/>
              </w:rPr>
              <w:t>Original version as per protocol</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35EAA253"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r w:rsidRPr="00815C88">
              <w:rPr>
                <w:rFonts w:ascii="Calibri" w:eastAsia="Times New Roman" w:hAnsi="Calibri" w:cs="Calibri"/>
                <w:b/>
                <w:bCs/>
                <w:color w:val="000000"/>
                <w:lang w:eastAsia="en-GB"/>
              </w:rPr>
              <w:t>Consensus in first round</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05622D70"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r w:rsidRPr="00815C88">
              <w:rPr>
                <w:rFonts w:ascii="Calibri" w:eastAsia="Times New Roman" w:hAnsi="Calibri" w:cs="Calibri"/>
                <w:b/>
                <w:bCs/>
                <w:color w:val="000000"/>
                <w:lang w:eastAsia="en-GB"/>
              </w:rPr>
              <w:t>Consensus in second round</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275C8A7"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r w:rsidRPr="00815C88">
              <w:rPr>
                <w:rFonts w:ascii="Calibri" w:eastAsia="Times New Roman" w:hAnsi="Calibri" w:cs="Calibri"/>
                <w:b/>
                <w:bCs/>
                <w:color w:val="000000"/>
                <w:lang w:eastAsia="en-GB"/>
              </w:rPr>
              <w:t xml:space="preserve">Consensus in </w:t>
            </w:r>
            <w:r>
              <w:rPr>
                <w:rFonts w:ascii="Calibri" w:eastAsia="Times New Roman" w:hAnsi="Calibri" w:cs="Calibri"/>
                <w:b/>
                <w:bCs/>
                <w:color w:val="000000"/>
                <w:lang w:eastAsia="en-GB"/>
              </w:rPr>
              <w:t>third</w:t>
            </w:r>
            <w:r w:rsidRPr="00815C88">
              <w:rPr>
                <w:rFonts w:ascii="Calibri" w:eastAsia="Times New Roman" w:hAnsi="Calibri" w:cs="Calibri"/>
                <w:b/>
                <w:bCs/>
                <w:color w:val="000000"/>
                <w:lang w:eastAsia="en-GB"/>
              </w:rPr>
              <w:t xml:space="preserve"> round</w:t>
            </w:r>
          </w:p>
        </w:tc>
      </w:tr>
      <w:tr w:rsidR="00183710" w:rsidRPr="00815C88" w14:paraId="6228E8B2" w14:textId="77777777" w:rsidTr="00C50E48">
        <w:trPr>
          <w:gridAfter w:val="1"/>
          <w:wAfter w:w="723" w:type="dxa"/>
          <w:trHeight w:val="324"/>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1FD91C" w14:textId="77777777" w:rsidR="00183710" w:rsidRPr="00815C88" w:rsidRDefault="00183710" w:rsidP="00C50E48">
            <w:pPr>
              <w:spacing w:after="0" w:line="240" w:lineRule="auto"/>
              <w:rPr>
                <w:rFonts w:ascii="Calibri" w:eastAsia="Times New Roman" w:hAnsi="Calibri" w:cs="Calibri"/>
                <w:b/>
                <w:bCs/>
                <w:color w:val="000000"/>
                <w:lang w:eastAsia="en-GB"/>
              </w:rPr>
            </w:pPr>
            <w:proofErr w:type="spellStart"/>
            <w:r w:rsidRPr="00815C88">
              <w:rPr>
                <w:rFonts w:ascii="Calibri" w:eastAsia="Times New Roman" w:hAnsi="Calibri" w:cs="Calibri"/>
                <w:b/>
                <w:color w:val="000000"/>
                <w:lang w:eastAsia="en-GB"/>
              </w:rPr>
              <w:t>Domains</w:t>
            </w:r>
            <w:r w:rsidRPr="00C3714E">
              <w:rPr>
                <w:rFonts w:ascii="Calibri" w:eastAsia="Times New Roman" w:hAnsi="Calibri" w:cs="Calibri"/>
                <w:b/>
                <w:color w:val="000000"/>
                <w:vertAlign w:val="superscript"/>
                <w:lang w:eastAsia="en-GB"/>
              </w:rPr>
              <w:t>a,b</w:t>
            </w:r>
            <w:r>
              <w:rPr>
                <w:rFonts w:ascii="Calibri" w:eastAsia="Times New Roman" w:hAnsi="Calibri" w:cs="Calibri"/>
                <w:b/>
                <w:color w:val="000000"/>
                <w:vertAlign w:val="superscript"/>
                <w:lang w:eastAsia="en-GB"/>
              </w:rPr>
              <w:t>,c</w:t>
            </w:r>
            <w:proofErr w:type="spellEnd"/>
          </w:p>
        </w:tc>
        <w:tc>
          <w:tcPr>
            <w:tcW w:w="3766" w:type="dxa"/>
            <w:tcBorders>
              <w:top w:val="single" w:sz="4" w:space="0" w:color="auto"/>
              <w:left w:val="nil"/>
              <w:bottom w:val="single" w:sz="4" w:space="0" w:color="auto"/>
              <w:right w:val="single" w:sz="4" w:space="0" w:color="auto"/>
            </w:tcBorders>
            <w:shd w:val="clear" w:color="auto" w:fill="auto"/>
            <w:noWrap/>
            <w:vAlign w:val="center"/>
          </w:tcPr>
          <w:p w14:paraId="13D8E390"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29EBD5E"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ED37F84"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2CF9F8E" w14:textId="77777777" w:rsidR="00183710" w:rsidRPr="00815C88" w:rsidRDefault="00183710" w:rsidP="00C50E48">
            <w:pPr>
              <w:spacing w:after="0" w:line="240" w:lineRule="auto"/>
              <w:jc w:val="center"/>
              <w:rPr>
                <w:rFonts w:ascii="Calibri" w:eastAsia="Times New Roman" w:hAnsi="Calibri" w:cs="Calibri"/>
                <w:b/>
                <w:bCs/>
                <w:color w:val="000000"/>
                <w:lang w:eastAsia="en-GB"/>
              </w:rPr>
            </w:pPr>
          </w:p>
        </w:tc>
      </w:tr>
      <w:tr w:rsidR="00183710" w:rsidRPr="00815C88" w14:paraId="6BA9AFB1"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3D3E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 Clinical translatability of results to human disease or condition (construct validity)</w:t>
            </w:r>
          </w:p>
        </w:tc>
        <w:tc>
          <w:tcPr>
            <w:tcW w:w="3766" w:type="dxa"/>
            <w:tcBorders>
              <w:top w:val="nil"/>
              <w:left w:val="nil"/>
              <w:bottom w:val="single" w:sz="4" w:space="0" w:color="auto"/>
              <w:right w:val="single" w:sz="4" w:space="0" w:color="auto"/>
            </w:tcBorders>
            <w:shd w:val="clear" w:color="auto" w:fill="auto"/>
            <w:noWrap/>
            <w:vAlign w:val="center"/>
            <w:hideMark/>
          </w:tcPr>
          <w:p w14:paraId="3494F33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 Generalisability of results to human disease or condition (construct validity)</w:t>
            </w:r>
          </w:p>
        </w:tc>
        <w:tc>
          <w:tcPr>
            <w:tcW w:w="1179" w:type="dxa"/>
            <w:tcBorders>
              <w:top w:val="nil"/>
              <w:left w:val="nil"/>
              <w:bottom w:val="single" w:sz="4" w:space="0" w:color="auto"/>
              <w:right w:val="single" w:sz="4" w:space="0" w:color="auto"/>
            </w:tcBorders>
            <w:shd w:val="clear" w:color="auto" w:fill="auto"/>
            <w:noWrap/>
            <w:vAlign w:val="center"/>
            <w:hideMark/>
          </w:tcPr>
          <w:p w14:paraId="5143B549"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2D8E9AB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73.3%</w:t>
            </w:r>
          </w:p>
        </w:tc>
        <w:tc>
          <w:tcPr>
            <w:tcW w:w="1179" w:type="dxa"/>
            <w:tcBorders>
              <w:top w:val="nil"/>
              <w:left w:val="nil"/>
              <w:bottom w:val="single" w:sz="4" w:space="0" w:color="auto"/>
              <w:right w:val="single" w:sz="4" w:space="0" w:color="auto"/>
            </w:tcBorders>
            <w:shd w:val="clear" w:color="auto" w:fill="auto"/>
            <w:noWrap/>
            <w:vAlign w:val="center"/>
            <w:hideMark/>
          </w:tcPr>
          <w:p w14:paraId="52D25F9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86.7%</w:t>
            </w:r>
          </w:p>
        </w:tc>
      </w:tr>
      <w:tr w:rsidR="00183710" w:rsidRPr="00815C88" w14:paraId="7A46E534"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C60DF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2. Reproducibility of results in a </w:t>
            </w:r>
            <w:r>
              <w:rPr>
                <w:rFonts w:eastAsia="Times New Roman"/>
              </w:rPr>
              <w:t>range of clinically relevant conditions</w:t>
            </w:r>
            <w:r w:rsidRPr="00815C88">
              <w:rPr>
                <w:rFonts w:ascii="Calibri" w:eastAsia="Times New Roman" w:hAnsi="Calibri" w:cs="Calibri"/>
                <w:color w:val="000000"/>
                <w:lang w:eastAsia="en-GB"/>
              </w:rPr>
              <w:t xml:space="preserve"> (external validity)</w:t>
            </w:r>
          </w:p>
        </w:tc>
        <w:tc>
          <w:tcPr>
            <w:tcW w:w="3766" w:type="dxa"/>
            <w:tcBorders>
              <w:top w:val="nil"/>
              <w:left w:val="nil"/>
              <w:bottom w:val="single" w:sz="4" w:space="0" w:color="auto"/>
              <w:right w:val="single" w:sz="4" w:space="0" w:color="auto"/>
            </w:tcBorders>
            <w:shd w:val="clear" w:color="auto" w:fill="auto"/>
            <w:noWrap/>
            <w:vAlign w:val="center"/>
            <w:hideMark/>
          </w:tcPr>
          <w:p w14:paraId="34128F87"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2. External validity</w:t>
            </w:r>
          </w:p>
        </w:tc>
        <w:tc>
          <w:tcPr>
            <w:tcW w:w="1179" w:type="dxa"/>
            <w:tcBorders>
              <w:top w:val="nil"/>
              <w:left w:val="nil"/>
              <w:bottom w:val="single" w:sz="4" w:space="0" w:color="auto"/>
              <w:right w:val="single" w:sz="4" w:space="0" w:color="auto"/>
            </w:tcBorders>
            <w:shd w:val="clear" w:color="auto" w:fill="auto"/>
            <w:noWrap/>
            <w:vAlign w:val="center"/>
            <w:hideMark/>
          </w:tcPr>
          <w:p w14:paraId="4718FCDE"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24A9ADC9"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66.7%</w:t>
            </w:r>
          </w:p>
        </w:tc>
        <w:tc>
          <w:tcPr>
            <w:tcW w:w="1179" w:type="dxa"/>
            <w:tcBorders>
              <w:top w:val="nil"/>
              <w:left w:val="nil"/>
              <w:bottom w:val="single" w:sz="4" w:space="0" w:color="auto"/>
              <w:right w:val="single" w:sz="4" w:space="0" w:color="auto"/>
            </w:tcBorders>
            <w:shd w:val="clear" w:color="auto" w:fill="auto"/>
            <w:noWrap/>
            <w:vAlign w:val="center"/>
            <w:hideMark/>
          </w:tcPr>
          <w:p w14:paraId="1C7CC96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86.7%</w:t>
            </w:r>
          </w:p>
        </w:tc>
      </w:tr>
      <w:tr w:rsidR="00183710" w:rsidRPr="00815C88" w14:paraId="3D07D417"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D400F7"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3. Bias (internal validity)</w:t>
            </w:r>
          </w:p>
        </w:tc>
        <w:tc>
          <w:tcPr>
            <w:tcW w:w="3766" w:type="dxa"/>
            <w:tcBorders>
              <w:top w:val="nil"/>
              <w:left w:val="nil"/>
              <w:bottom w:val="single" w:sz="4" w:space="0" w:color="auto"/>
              <w:right w:val="single" w:sz="4" w:space="0" w:color="auto"/>
            </w:tcBorders>
            <w:shd w:val="clear" w:color="auto" w:fill="auto"/>
            <w:noWrap/>
            <w:vAlign w:val="center"/>
            <w:hideMark/>
          </w:tcPr>
          <w:p w14:paraId="3C35CDFC"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3. Internal validity</w:t>
            </w:r>
          </w:p>
        </w:tc>
        <w:tc>
          <w:tcPr>
            <w:tcW w:w="1179" w:type="dxa"/>
            <w:tcBorders>
              <w:top w:val="nil"/>
              <w:left w:val="nil"/>
              <w:bottom w:val="single" w:sz="4" w:space="0" w:color="auto"/>
              <w:right w:val="single" w:sz="4" w:space="0" w:color="auto"/>
            </w:tcBorders>
            <w:shd w:val="clear" w:color="auto" w:fill="auto"/>
            <w:noWrap/>
            <w:vAlign w:val="center"/>
            <w:hideMark/>
          </w:tcPr>
          <w:p w14:paraId="772C169C"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716C453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80.0%</w:t>
            </w:r>
          </w:p>
        </w:tc>
        <w:tc>
          <w:tcPr>
            <w:tcW w:w="1179" w:type="dxa"/>
            <w:tcBorders>
              <w:top w:val="nil"/>
              <w:left w:val="nil"/>
              <w:bottom w:val="single" w:sz="4" w:space="0" w:color="auto"/>
              <w:right w:val="single" w:sz="4" w:space="0" w:color="auto"/>
            </w:tcBorders>
            <w:shd w:val="clear" w:color="auto" w:fill="auto"/>
            <w:noWrap/>
            <w:vAlign w:val="center"/>
            <w:hideMark/>
          </w:tcPr>
          <w:p w14:paraId="61A97559"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93.3%</w:t>
            </w:r>
          </w:p>
        </w:tc>
      </w:tr>
      <w:tr w:rsidR="00183710" w:rsidRPr="00815C88" w14:paraId="0C752DCD"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603A63"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4. Experimental design and </w:t>
            </w:r>
            <w:r>
              <w:rPr>
                <w:rFonts w:ascii="Calibri" w:eastAsia="Times New Roman" w:hAnsi="Calibri" w:cs="Calibri"/>
                <w:color w:val="000000"/>
                <w:lang w:eastAsia="en-GB"/>
              </w:rPr>
              <w:t xml:space="preserve">data </w:t>
            </w:r>
            <w:r w:rsidRPr="00815C88">
              <w:rPr>
                <w:rFonts w:ascii="Calibri" w:eastAsia="Times New Roman" w:hAnsi="Calibri" w:cs="Calibri"/>
                <w:color w:val="000000"/>
                <w:lang w:eastAsia="en-GB"/>
              </w:rPr>
              <w:t>analysis</w:t>
            </w:r>
          </w:p>
        </w:tc>
        <w:tc>
          <w:tcPr>
            <w:tcW w:w="3766" w:type="dxa"/>
            <w:tcBorders>
              <w:top w:val="nil"/>
              <w:left w:val="nil"/>
              <w:bottom w:val="single" w:sz="4" w:space="0" w:color="auto"/>
              <w:right w:val="single" w:sz="4" w:space="0" w:color="auto"/>
            </w:tcBorders>
            <w:shd w:val="clear" w:color="auto" w:fill="auto"/>
            <w:noWrap/>
            <w:vAlign w:val="center"/>
            <w:hideMark/>
          </w:tcPr>
          <w:p w14:paraId="36ACE578"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 Appropriate analysis and interpretation</w:t>
            </w:r>
          </w:p>
        </w:tc>
        <w:tc>
          <w:tcPr>
            <w:tcW w:w="1179" w:type="dxa"/>
            <w:tcBorders>
              <w:top w:val="nil"/>
              <w:left w:val="nil"/>
              <w:bottom w:val="single" w:sz="4" w:space="0" w:color="auto"/>
              <w:right w:val="single" w:sz="4" w:space="0" w:color="auto"/>
            </w:tcBorders>
            <w:shd w:val="clear" w:color="auto" w:fill="auto"/>
            <w:noWrap/>
            <w:vAlign w:val="center"/>
            <w:hideMark/>
          </w:tcPr>
          <w:p w14:paraId="21EC100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782F917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93.3%</w:t>
            </w:r>
          </w:p>
        </w:tc>
        <w:tc>
          <w:tcPr>
            <w:tcW w:w="1179" w:type="dxa"/>
            <w:tcBorders>
              <w:top w:val="nil"/>
              <w:left w:val="nil"/>
              <w:bottom w:val="single" w:sz="4" w:space="0" w:color="auto"/>
              <w:right w:val="single" w:sz="4" w:space="0" w:color="auto"/>
            </w:tcBorders>
            <w:shd w:val="clear" w:color="auto" w:fill="auto"/>
            <w:noWrap/>
            <w:vAlign w:val="center"/>
            <w:hideMark/>
          </w:tcPr>
          <w:p w14:paraId="53EB7F0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1C2F5DE2"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AC76D" w14:textId="5D41B84A"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 </w:t>
            </w:r>
            <w:r w:rsidR="002A53FC">
              <w:rPr>
                <w:rFonts w:ascii="Calibri" w:eastAsia="Times New Roman" w:hAnsi="Calibri" w:cs="Calibri"/>
                <w:color w:val="000000"/>
                <w:lang w:eastAsia="en-GB"/>
              </w:rPr>
              <w:t>Repro</w:t>
            </w:r>
            <w:r w:rsidR="0031275B">
              <w:rPr>
                <w:rFonts w:ascii="Calibri" w:eastAsia="Times New Roman" w:hAnsi="Calibri" w:cs="Calibri"/>
                <w:color w:val="000000"/>
                <w:lang w:eastAsia="en-GB"/>
              </w:rPr>
              <w:t>ducibility and r</w:t>
            </w:r>
            <w:r w:rsidRPr="00815C88">
              <w:rPr>
                <w:rFonts w:ascii="Calibri" w:eastAsia="Times New Roman" w:hAnsi="Calibri" w:cs="Calibri"/>
                <w:color w:val="000000"/>
                <w:lang w:eastAsia="en-GB"/>
              </w:rPr>
              <w:t>eplicability of methods and results in the same model</w:t>
            </w:r>
          </w:p>
        </w:tc>
        <w:tc>
          <w:tcPr>
            <w:tcW w:w="3766" w:type="dxa"/>
            <w:tcBorders>
              <w:top w:val="nil"/>
              <w:left w:val="nil"/>
              <w:bottom w:val="single" w:sz="4" w:space="0" w:color="auto"/>
              <w:right w:val="single" w:sz="4" w:space="0" w:color="auto"/>
            </w:tcBorders>
            <w:shd w:val="clear" w:color="auto" w:fill="auto"/>
            <w:noWrap/>
            <w:vAlign w:val="center"/>
            <w:hideMark/>
          </w:tcPr>
          <w:p w14:paraId="49714BAE"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5. Reproducibility of results</w:t>
            </w:r>
          </w:p>
        </w:tc>
        <w:tc>
          <w:tcPr>
            <w:tcW w:w="1179" w:type="dxa"/>
            <w:tcBorders>
              <w:top w:val="nil"/>
              <w:left w:val="nil"/>
              <w:bottom w:val="single" w:sz="4" w:space="0" w:color="auto"/>
              <w:right w:val="single" w:sz="4" w:space="0" w:color="auto"/>
            </w:tcBorders>
            <w:shd w:val="clear" w:color="auto" w:fill="auto"/>
            <w:noWrap/>
            <w:vAlign w:val="center"/>
            <w:hideMark/>
          </w:tcPr>
          <w:p w14:paraId="1A713D1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0540430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80.0%</w:t>
            </w:r>
          </w:p>
        </w:tc>
        <w:tc>
          <w:tcPr>
            <w:tcW w:w="1179" w:type="dxa"/>
            <w:tcBorders>
              <w:top w:val="nil"/>
              <w:left w:val="nil"/>
              <w:bottom w:val="single" w:sz="4" w:space="0" w:color="auto"/>
              <w:right w:val="single" w:sz="4" w:space="0" w:color="auto"/>
            </w:tcBorders>
            <w:shd w:val="clear" w:color="auto" w:fill="auto"/>
            <w:noWrap/>
            <w:vAlign w:val="center"/>
            <w:hideMark/>
          </w:tcPr>
          <w:p w14:paraId="0D58A14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85.7%</w:t>
            </w:r>
          </w:p>
        </w:tc>
      </w:tr>
      <w:tr w:rsidR="00183710" w:rsidRPr="00815C88" w14:paraId="68BDDEF1"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317912"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6. Implications of the study findings (study conclusions)</w:t>
            </w:r>
            <w:r>
              <w:rPr>
                <w:rFonts w:ascii="Calibri" w:eastAsia="Times New Roman" w:hAnsi="Calibri" w:cs="Calibri"/>
                <w:color w:val="000000"/>
                <w:vertAlign w:val="superscript"/>
                <w:lang w:eastAsia="en-GB"/>
              </w:rPr>
              <w:t>d</w:t>
            </w:r>
          </w:p>
        </w:tc>
        <w:tc>
          <w:tcPr>
            <w:tcW w:w="3766" w:type="dxa"/>
            <w:tcBorders>
              <w:top w:val="nil"/>
              <w:left w:val="nil"/>
              <w:bottom w:val="single" w:sz="4" w:space="0" w:color="auto"/>
              <w:right w:val="single" w:sz="4" w:space="0" w:color="auto"/>
            </w:tcBorders>
            <w:shd w:val="clear" w:color="auto" w:fill="auto"/>
            <w:noWrap/>
            <w:vAlign w:val="center"/>
            <w:hideMark/>
          </w:tcPr>
          <w:p w14:paraId="64FE9CC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16D2489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1C37230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91.7%</w:t>
            </w:r>
          </w:p>
        </w:tc>
        <w:tc>
          <w:tcPr>
            <w:tcW w:w="1179" w:type="dxa"/>
            <w:tcBorders>
              <w:top w:val="nil"/>
              <w:left w:val="nil"/>
              <w:bottom w:val="single" w:sz="4" w:space="0" w:color="auto"/>
              <w:right w:val="single" w:sz="4" w:space="0" w:color="auto"/>
            </w:tcBorders>
            <w:shd w:val="clear" w:color="auto" w:fill="auto"/>
            <w:noWrap/>
            <w:vAlign w:val="center"/>
            <w:hideMark/>
          </w:tcPr>
          <w:p w14:paraId="0A4734B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92.3%</w:t>
            </w:r>
          </w:p>
        </w:tc>
      </w:tr>
      <w:tr w:rsidR="00183710" w:rsidRPr="00815C88" w14:paraId="11D6AEDF"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1E9F90"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 Research integrity</w:t>
            </w:r>
          </w:p>
        </w:tc>
        <w:tc>
          <w:tcPr>
            <w:tcW w:w="3766" w:type="dxa"/>
            <w:tcBorders>
              <w:top w:val="nil"/>
              <w:left w:val="nil"/>
              <w:bottom w:val="single" w:sz="4" w:space="0" w:color="auto"/>
              <w:right w:val="single" w:sz="4" w:space="0" w:color="auto"/>
            </w:tcBorders>
            <w:shd w:val="clear" w:color="auto" w:fill="auto"/>
            <w:noWrap/>
            <w:vAlign w:val="center"/>
            <w:hideMark/>
          </w:tcPr>
          <w:p w14:paraId="4CDC3340"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6. Research integrity</w:t>
            </w:r>
          </w:p>
        </w:tc>
        <w:tc>
          <w:tcPr>
            <w:tcW w:w="1179" w:type="dxa"/>
            <w:tcBorders>
              <w:top w:val="nil"/>
              <w:left w:val="nil"/>
              <w:bottom w:val="single" w:sz="4" w:space="0" w:color="auto"/>
              <w:right w:val="single" w:sz="4" w:space="0" w:color="auto"/>
            </w:tcBorders>
            <w:shd w:val="clear" w:color="auto" w:fill="auto"/>
            <w:noWrap/>
            <w:vAlign w:val="center"/>
            <w:hideMark/>
          </w:tcPr>
          <w:p w14:paraId="36A6F33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3DCD846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85.7%</w:t>
            </w:r>
          </w:p>
        </w:tc>
        <w:tc>
          <w:tcPr>
            <w:tcW w:w="1179" w:type="dxa"/>
            <w:tcBorders>
              <w:top w:val="nil"/>
              <w:left w:val="nil"/>
              <w:bottom w:val="single" w:sz="4" w:space="0" w:color="auto"/>
              <w:right w:val="single" w:sz="4" w:space="0" w:color="auto"/>
            </w:tcBorders>
            <w:shd w:val="clear" w:color="auto" w:fill="auto"/>
            <w:noWrap/>
            <w:vAlign w:val="center"/>
            <w:hideMark/>
          </w:tcPr>
          <w:p w14:paraId="105E6F0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91.7%</w:t>
            </w:r>
          </w:p>
        </w:tc>
      </w:tr>
      <w:tr w:rsidR="00183710" w:rsidRPr="00815C88" w14:paraId="42AD8535"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F6B7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8. Research </w:t>
            </w:r>
            <w:proofErr w:type="spellStart"/>
            <w:r w:rsidRPr="00815C88">
              <w:rPr>
                <w:rFonts w:ascii="Calibri" w:eastAsia="Times New Roman" w:hAnsi="Calibri" w:cs="Calibri"/>
                <w:color w:val="000000"/>
                <w:lang w:eastAsia="en-GB"/>
              </w:rPr>
              <w:t>transparency</w:t>
            </w:r>
            <w:r>
              <w:rPr>
                <w:rFonts w:ascii="Calibri" w:eastAsia="Times New Roman" w:hAnsi="Calibri" w:cs="Calibri"/>
                <w:color w:val="000000"/>
                <w:vertAlign w:val="superscript"/>
                <w:lang w:eastAsia="en-GB"/>
              </w:rPr>
              <w:t>d</w:t>
            </w:r>
            <w:proofErr w:type="spellEnd"/>
          </w:p>
        </w:tc>
        <w:tc>
          <w:tcPr>
            <w:tcW w:w="3766" w:type="dxa"/>
            <w:tcBorders>
              <w:top w:val="nil"/>
              <w:left w:val="nil"/>
              <w:bottom w:val="single" w:sz="4" w:space="0" w:color="auto"/>
              <w:right w:val="single" w:sz="4" w:space="0" w:color="auto"/>
            </w:tcBorders>
            <w:shd w:val="clear" w:color="auto" w:fill="auto"/>
            <w:noWrap/>
            <w:vAlign w:val="center"/>
            <w:hideMark/>
          </w:tcPr>
          <w:p w14:paraId="28CB8961"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2362288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07B9982A"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760F43E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60A7171B"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DC1F6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38AD10B3"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4. Measurement </w:t>
            </w:r>
            <w:proofErr w:type="spellStart"/>
            <w:r w:rsidRPr="00815C88">
              <w:rPr>
                <w:rFonts w:ascii="Calibri" w:eastAsia="Times New Roman" w:hAnsi="Calibri" w:cs="Calibri"/>
                <w:color w:val="000000"/>
                <w:lang w:eastAsia="en-GB"/>
              </w:rPr>
              <w:t>errors</w:t>
            </w:r>
            <w:r w:rsidRPr="002A15C7">
              <w:rPr>
                <w:rFonts w:ascii="Calibri" w:eastAsia="Times New Roman" w:hAnsi="Calibri" w:cs="Calibri"/>
                <w:color w:val="000000"/>
                <w:vertAlign w:val="superscript"/>
                <w:lang w:eastAsia="en-GB"/>
              </w:rPr>
              <w:t>e</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626686E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125250FE"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7AF9EA8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5C30AA97"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tcPr>
          <w:p w14:paraId="052E4D8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b/>
                <w:color w:val="000000"/>
                <w:lang w:eastAsia="en-GB"/>
              </w:rPr>
              <w:t>Signalling questions</w:t>
            </w:r>
          </w:p>
        </w:tc>
        <w:tc>
          <w:tcPr>
            <w:tcW w:w="3766" w:type="dxa"/>
            <w:tcBorders>
              <w:top w:val="nil"/>
              <w:left w:val="nil"/>
              <w:bottom w:val="single" w:sz="4" w:space="0" w:color="auto"/>
              <w:right w:val="single" w:sz="4" w:space="0" w:color="auto"/>
            </w:tcBorders>
            <w:shd w:val="clear" w:color="auto" w:fill="auto"/>
            <w:noWrap/>
            <w:vAlign w:val="center"/>
          </w:tcPr>
          <w:p w14:paraId="5C615BBB" w14:textId="77777777" w:rsidR="00183710" w:rsidRPr="00815C88" w:rsidRDefault="00183710" w:rsidP="00C50E48">
            <w:pPr>
              <w:spacing w:after="0" w:line="240" w:lineRule="auto"/>
              <w:rPr>
                <w:rFonts w:ascii="Calibri" w:eastAsia="Times New Roman" w:hAnsi="Calibri" w:cs="Calibri"/>
                <w:color w:val="000000"/>
                <w:lang w:eastAsia="en-GB"/>
              </w:rPr>
            </w:pPr>
          </w:p>
        </w:tc>
        <w:tc>
          <w:tcPr>
            <w:tcW w:w="1179" w:type="dxa"/>
            <w:tcBorders>
              <w:top w:val="nil"/>
              <w:left w:val="nil"/>
              <w:bottom w:val="single" w:sz="4" w:space="0" w:color="auto"/>
              <w:right w:val="single" w:sz="4" w:space="0" w:color="auto"/>
            </w:tcBorders>
            <w:shd w:val="clear" w:color="auto" w:fill="auto"/>
            <w:noWrap/>
            <w:vAlign w:val="center"/>
          </w:tcPr>
          <w:p w14:paraId="1E090268"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c>
          <w:tcPr>
            <w:tcW w:w="1179" w:type="dxa"/>
            <w:tcBorders>
              <w:top w:val="nil"/>
              <w:left w:val="nil"/>
              <w:bottom w:val="single" w:sz="4" w:space="0" w:color="auto"/>
              <w:right w:val="single" w:sz="4" w:space="0" w:color="auto"/>
            </w:tcBorders>
            <w:shd w:val="clear" w:color="auto" w:fill="auto"/>
            <w:noWrap/>
            <w:vAlign w:val="center"/>
          </w:tcPr>
          <w:p w14:paraId="5AAE11B8"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c>
          <w:tcPr>
            <w:tcW w:w="1179" w:type="dxa"/>
            <w:tcBorders>
              <w:top w:val="nil"/>
              <w:left w:val="nil"/>
              <w:bottom w:val="single" w:sz="4" w:space="0" w:color="auto"/>
              <w:right w:val="single" w:sz="4" w:space="0" w:color="auto"/>
            </w:tcBorders>
            <w:shd w:val="clear" w:color="auto" w:fill="auto"/>
            <w:noWrap/>
            <w:vAlign w:val="center"/>
          </w:tcPr>
          <w:p w14:paraId="62EA93B0"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r>
      <w:tr w:rsidR="00183710" w:rsidRPr="00815C88" w14:paraId="4635BFFD"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0D530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1.1 Did the authors use a model that adequately represents the human disease?</w:t>
            </w:r>
          </w:p>
        </w:tc>
        <w:tc>
          <w:tcPr>
            <w:tcW w:w="3766" w:type="dxa"/>
            <w:tcBorders>
              <w:top w:val="nil"/>
              <w:left w:val="nil"/>
              <w:bottom w:val="single" w:sz="4" w:space="0" w:color="auto"/>
              <w:right w:val="single" w:sz="4" w:space="0" w:color="auto"/>
            </w:tcBorders>
            <w:shd w:val="clear" w:color="auto" w:fill="auto"/>
            <w:noWrap/>
            <w:vAlign w:val="center"/>
            <w:hideMark/>
          </w:tcPr>
          <w:p w14:paraId="6436E3C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1.1 Are the results from the model transferable to humans?</w:t>
            </w:r>
          </w:p>
        </w:tc>
        <w:tc>
          <w:tcPr>
            <w:tcW w:w="1179" w:type="dxa"/>
            <w:tcBorders>
              <w:top w:val="nil"/>
              <w:left w:val="nil"/>
              <w:bottom w:val="single" w:sz="4" w:space="0" w:color="auto"/>
              <w:right w:val="single" w:sz="4" w:space="0" w:color="auto"/>
            </w:tcBorders>
            <w:shd w:val="clear" w:color="auto" w:fill="auto"/>
            <w:noWrap/>
            <w:vAlign w:val="center"/>
            <w:hideMark/>
          </w:tcPr>
          <w:p w14:paraId="28CDE20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68.4%</w:t>
            </w:r>
          </w:p>
        </w:tc>
        <w:tc>
          <w:tcPr>
            <w:tcW w:w="1179" w:type="dxa"/>
            <w:tcBorders>
              <w:top w:val="nil"/>
              <w:left w:val="nil"/>
              <w:bottom w:val="single" w:sz="4" w:space="0" w:color="auto"/>
              <w:right w:val="single" w:sz="4" w:space="0" w:color="auto"/>
            </w:tcBorders>
            <w:shd w:val="clear" w:color="auto" w:fill="auto"/>
            <w:noWrap/>
            <w:vAlign w:val="center"/>
            <w:hideMark/>
          </w:tcPr>
          <w:p w14:paraId="7D65D77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76.5%</w:t>
            </w:r>
          </w:p>
        </w:tc>
        <w:tc>
          <w:tcPr>
            <w:tcW w:w="1179" w:type="dxa"/>
            <w:tcBorders>
              <w:top w:val="nil"/>
              <w:left w:val="nil"/>
              <w:bottom w:val="single" w:sz="4" w:space="0" w:color="auto"/>
              <w:right w:val="single" w:sz="4" w:space="0" w:color="auto"/>
            </w:tcBorders>
            <w:shd w:val="clear" w:color="auto" w:fill="auto"/>
            <w:noWrap/>
            <w:vAlign w:val="center"/>
            <w:hideMark/>
          </w:tcPr>
          <w:p w14:paraId="47092DF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76.5%</w:t>
            </w:r>
          </w:p>
        </w:tc>
      </w:tr>
      <w:tr w:rsidR="00183710" w:rsidRPr="00815C88" w14:paraId="37DE97C7"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32388"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lastRenderedPageBreak/>
              <w:t>1.2 Did the authors sufficiently identify and characterise the model?</w:t>
            </w:r>
          </w:p>
        </w:tc>
        <w:tc>
          <w:tcPr>
            <w:tcW w:w="3766" w:type="dxa"/>
            <w:tcBorders>
              <w:top w:val="nil"/>
              <w:left w:val="nil"/>
              <w:bottom w:val="single" w:sz="4" w:space="0" w:color="auto"/>
              <w:right w:val="single" w:sz="4" w:space="0" w:color="auto"/>
            </w:tcBorders>
            <w:shd w:val="clear" w:color="auto" w:fill="auto"/>
            <w:noWrap/>
            <w:vAlign w:val="center"/>
            <w:hideMark/>
          </w:tcPr>
          <w:p w14:paraId="5446CAF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2.1 Is the model used in the preclinical research really the model that the researcher wants to study?</w:t>
            </w:r>
          </w:p>
        </w:tc>
        <w:tc>
          <w:tcPr>
            <w:tcW w:w="1179" w:type="dxa"/>
            <w:tcBorders>
              <w:top w:val="nil"/>
              <w:left w:val="nil"/>
              <w:bottom w:val="single" w:sz="4" w:space="0" w:color="auto"/>
              <w:right w:val="single" w:sz="4" w:space="0" w:color="auto"/>
            </w:tcBorders>
            <w:shd w:val="clear" w:color="auto" w:fill="auto"/>
            <w:noWrap/>
            <w:vAlign w:val="center"/>
            <w:hideMark/>
          </w:tcPr>
          <w:p w14:paraId="3AE5F05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55.6%</w:t>
            </w:r>
          </w:p>
        </w:tc>
        <w:tc>
          <w:tcPr>
            <w:tcW w:w="1179" w:type="dxa"/>
            <w:tcBorders>
              <w:top w:val="nil"/>
              <w:left w:val="nil"/>
              <w:bottom w:val="single" w:sz="4" w:space="0" w:color="auto"/>
              <w:right w:val="single" w:sz="4" w:space="0" w:color="auto"/>
            </w:tcBorders>
            <w:shd w:val="clear" w:color="auto" w:fill="auto"/>
            <w:noWrap/>
            <w:vAlign w:val="center"/>
            <w:hideMark/>
          </w:tcPr>
          <w:p w14:paraId="224184A2"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64.7%</w:t>
            </w:r>
          </w:p>
        </w:tc>
        <w:tc>
          <w:tcPr>
            <w:tcW w:w="1179" w:type="dxa"/>
            <w:tcBorders>
              <w:top w:val="nil"/>
              <w:left w:val="nil"/>
              <w:bottom w:val="single" w:sz="4" w:space="0" w:color="auto"/>
              <w:right w:val="single" w:sz="4" w:space="0" w:color="auto"/>
            </w:tcBorders>
            <w:shd w:val="clear" w:color="auto" w:fill="auto"/>
            <w:noWrap/>
            <w:vAlign w:val="center"/>
            <w:hideMark/>
          </w:tcPr>
          <w:p w14:paraId="468A049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70.6%</w:t>
            </w:r>
          </w:p>
        </w:tc>
      </w:tr>
      <w:tr w:rsidR="00183710" w:rsidRPr="00815C88" w14:paraId="6A4894A9"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18A5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1.3 Were the method and timing of the intervention in the specific model relevant to humans?</w:t>
            </w:r>
          </w:p>
        </w:tc>
        <w:tc>
          <w:tcPr>
            <w:tcW w:w="3766" w:type="dxa"/>
            <w:tcBorders>
              <w:top w:val="nil"/>
              <w:left w:val="nil"/>
              <w:bottom w:val="single" w:sz="4" w:space="0" w:color="auto"/>
              <w:right w:val="single" w:sz="4" w:space="0" w:color="auto"/>
            </w:tcBorders>
            <w:shd w:val="clear" w:color="auto" w:fill="auto"/>
            <w:noWrap/>
            <w:vAlign w:val="center"/>
            <w:hideMark/>
          </w:tcPr>
          <w:p w14:paraId="2BD58F77"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1.2 Are the dose, route of administration, and timing of the intervention transferable to humans?</w:t>
            </w:r>
          </w:p>
        </w:tc>
        <w:tc>
          <w:tcPr>
            <w:tcW w:w="1179" w:type="dxa"/>
            <w:tcBorders>
              <w:top w:val="nil"/>
              <w:left w:val="nil"/>
              <w:bottom w:val="single" w:sz="4" w:space="0" w:color="auto"/>
              <w:right w:val="single" w:sz="4" w:space="0" w:color="auto"/>
            </w:tcBorders>
            <w:shd w:val="clear" w:color="auto" w:fill="auto"/>
            <w:noWrap/>
            <w:vAlign w:val="center"/>
            <w:hideMark/>
          </w:tcPr>
          <w:p w14:paraId="3AED89F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84.2%</w:t>
            </w:r>
          </w:p>
        </w:tc>
        <w:tc>
          <w:tcPr>
            <w:tcW w:w="1179" w:type="dxa"/>
            <w:tcBorders>
              <w:top w:val="nil"/>
              <w:left w:val="nil"/>
              <w:bottom w:val="single" w:sz="4" w:space="0" w:color="auto"/>
              <w:right w:val="single" w:sz="4" w:space="0" w:color="auto"/>
            </w:tcBorders>
            <w:shd w:val="clear" w:color="auto" w:fill="auto"/>
            <w:noWrap/>
            <w:vAlign w:val="center"/>
            <w:hideMark/>
          </w:tcPr>
          <w:p w14:paraId="45D1C7D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1BECE63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782FF661"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7BF893" w14:textId="3B26AE40"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1.4 If the study used an </w:t>
            </w:r>
            <w:r>
              <w:rPr>
                <w:rFonts w:ascii="Calibri" w:eastAsia="Times New Roman" w:hAnsi="Calibri" w:cs="Calibri"/>
                <w:color w:val="000000"/>
                <w:lang w:eastAsia="en-GB"/>
              </w:rPr>
              <w:t>surrogate outcome</w:t>
            </w:r>
            <w:r w:rsidRPr="00815C88">
              <w:rPr>
                <w:rFonts w:ascii="Calibri" w:eastAsia="Times New Roman" w:hAnsi="Calibri" w:cs="Calibri"/>
                <w:color w:val="000000"/>
                <w:lang w:eastAsia="en-GB"/>
              </w:rPr>
              <w:t xml:space="preserve">, was there a clear and reproducible </w:t>
            </w:r>
            <w:r w:rsidR="00574D5A">
              <w:rPr>
                <w:rFonts w:ascii="Calibri" w:eastAsia="Times New Roman" w:hAnsi="Calibri" w:cs="Calibri"/>
                <w:color w:val="000000"/>
                <w:lang w:eastAsia="en-GB"/>
              </w:rPr>
              <w:t>relationship</w:t>
            </w:r>
            <w:r w:rsidR="00574D5A" w:rsidRPr="00815C88">
              <w:rPr>
                <w:rFonts w:ascii="Calibri" w:eastAsia="Times New Roman" w:hAnsi="Calibri" w:cs="Calibri"/>
                <w:color w:val="000000"/>
                <w:lang w:eastAsia="en-GB"/>
              </w:rPr>
              <w:t xml:space="preserve"> </w:t>
            </w:r>
            <w:r w:rsidRPr="00815C88">
              <w:rPr>
                <w:rFonts w:ascii="Calibri" w:eastAsia="Times New Roman" w:hAnsi="Calibri" w:cs="Calibri"/>
                <w:color w:val="000000"/>
                <w:lang w:eastAsia="en-GB"/>
              </w:rPr>
              <w:t xml:space="preserve">between </w:t>
            </w:r>
            <w:r w:rsidR="00255957">
              <w:rPr>
                <w:rFonts w:ascii="Calibri" w:eastAsia="Times New Roman" w:hAnsi="Calibri" w:cs="Calibri"/>
                <w:color w:val="000000"/>
                <w:lang w:eastAsia="en-GB"/>
              </w:rPr>
              <w:t xml:space="preserve">an intervention effect on the </w:t>
            </w:r>
            <w:r>
              <w:rPr>
                <w:rFonts w:ascii="Calibri" w:eastAsia="Times New Roman" w:hAnsi="Calibri" w:cs="Calibri"/>
                <w:color w:val="000000"/>
                <w:lang w:eastAsia="en-GB"/>
              </w:rPr>
              <w:t>surrogate outcome</w:t>
            </w:r>
            <w:r w:rsidRPr="00815C88">
              <w:rPr>
                <w:rFonts w:ascii="Calibri" w:eastAsia="Times New Roman" w:hAnsi="Calibri" w:cs="Calibri"/>
                <w:color w:val="000000"/>
                <w:lang w:eastAsia="en-GB"/>
              </w:rPr>
              <w:t xml:space="preserve"> </w:t>
            </w:r>
            <w:r w:rsidR="00255957">
              <w:rPr>
                <w:rFonts w:ascii="Calibri" w:eastAsia="Times New Roman" w:hAnsi="Calibri" w:cs="Calibri"/>
                <w:color w:val="000000"/>
                <w:lang w:eastAsia="en-GB"/>
              </w:rPr>
              <w:t>(</w:t>
            </w:r>
            <w:r w:rsidRPr="00815C88">
              <w:rPr>
                <w:rFonts w:ascii="Calibri" w:eastAsia="Times New Roman" w:hAnsi="Calibri" w:cs="Calibri"/>
                <w:color w:val="000000"/>
                <w:lang w:eastAsia="en-GB"/>
              </w:rPr>
              <w:t xml:space="preserve">measured at the time chosen in the preclinical research) and </w:t>
            </w:r>
            <w:r w:rsidR="0017568B">
              <w:rPr>
                <w:rFonts w:ascii="Calibri" w:eastAsia="Times New Roman" w:hAnsi="Calibri" w:cs="Calibri"/>
                <w:color w:val="000000"/>
                <w:lang w:eastAsia="en-GB"/>
              </w:rPr>
              <w:t xml:space="preserve">that on the </w:t>
            </w:r>
            <w:r w:rsidRPr="00815C88">
              <w:rPr>
                <w:rFonts w:ascii="Calibri" w:eastAsia="Times New Roman" w:hAnsi="Calibri" w:cs="Calibri"/>
                <w:color w:val="000000"/>
                <w:lang w:eastAsia="en-GB"/>
              </w:rPr>
              <w:t>clinical outcome?</w:t>
            </w:r>
          </w:p>
        </w:tc>
        <w:tc>
          <w:tcPr>
            <w:tcW w:w="3766" w:type="dxa"/>
            <w:tcBorders>
              <w:top w:val="nil"/>
              <w:left w:val="nil"/>
              <w:bottom w:val="single" w:sz="4" w:space="0" w:color="auto"/>
              <w:right w:val="single" w:sz="4" w:space="0" w:color="auto"/>
            </w:tcBorders>
            <w:shd w:val="clear" w:color="auto" w:fill="auto"/>
            <w:noWrap/>
            <w:vAlign w:val="center"/>
            <w:hideMark/>
          </w:tcPr>
          <w:p w14:paraId="17FC0FCC"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1.3 Is the correlation between </w:t>
            </w:r>
            <w:r>
              <w:rPr>
                <w:rFonts w:ascii="Calibri" w:eastAsia="Times New Roman" w:hAnsi="Calibri" w:cs="Calibri"/>
                <w:color w:val="000000"/>
                <w:lang w:eastAsia="en-GB"/>
              </w:rPr>
              <w:t xml:space="preserve">the </w:t>
            </w:r>
            <w:r w:rsidRPr="00815C88">
              <w:rPr>
                <w:rFonts w:ascii="Calibri" w:eastAsia="Times New Roman" w:hAnsi="Calibri" w:cs="Calibri"/>
                <w:color w:val="000000"/>
                <w:lang w:eastAsia="en-GB"/>
              </w:rPr>
              <w:t>surrogate outcome measured at the appropriate time (chosen in the preclinical research) and clinical outcome strong, consistent and independent?</w:t>
            </w:r>
          </w:p>
        </w:tc>
        <w:tc>
          <w:tcPr>
            <w:tcW w:w="1179" w:type="dxa"/>
            <w:tcBorders>
              <w:top w:val="nil"/>
              <w:left w:val="nil"/>
              <w:bottom w:val="single" w:sz="4" w:space="0" w:color="auto"/>
              <w:right w:val="single" w:sz="4" w:space="0" w:color="auto"/>
            </w:tcBorders>
            <w:shd w:val="clear" w:color="auto" w:fill="auto"/>
            <w:noWrap/>
            <w:vAlign w:val="center"/>
            <w:hideMark/>
          </w:tcPr>
          <w:p w14:paraId="3BF6CA4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89.5%</w:t>
            </w:r>
          </w:p>
        </w:tc>
        <w:tc>
          <w:tcPr>
            <w:tcW w:w="1179" w:type="dxa"/>
            <w:tcBorders>
              <w:top w:val="nil"/>
              <w:left w:val="nil"/>
              <w:bottom w:val="single" w:sz="4" w:space="0" w:color="auto"/>
              <w:right w:val="single" w:sz="4" w:space="0" w:color="auto"/>
            </w:tcBorders>
            <w:shd w:val="clear" w:color="auto" w:fill="auto"/>
            <w:noWrap/>
            <w:vAlign w:val="center"/>
            <w:hideMark/>
          </w:tcPr>
          <w:p w14:paraId="05BA85A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c>
          <w:tcPr>
            <w:tcW w:w="1179" w:type="dxa"/>
            <w:tcBorders>
              <w:top w:val="nil"/>
              <w:left w:val="nil"/>
              <w:bottom w:val="single" w:sz="4" w:space="0" w:color="auto"/>
              <w:right w:val="single" w:sz="4" w:space="0" w:color="auto"/>
            </w:tcBorders>
            <w:shd w:val="clear" w:color="auto" w:fill="auto"/>
            <w:noWrap/>
            <w:vAlign w:val="center"/>
            <w:hideMark/>
          </w:tcPr>
          <w:p w14:paraId="5FA5D6D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r>
      <w:tr w:rsidR="00183710" w:rsidRPr="00815C88" w14:paraId="4D62DD7C"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0BE63D" w14:textId="1DCA545A"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1.5 If the study used an </w:t>
            </w:r>
            <w:r>
              <w:rPr>
                <w:rFonts w:ascii="Calibri" w:eastAsia="Times New Roman" w:hAnsi="Calibri" w:cs="Calibri"/>
                <w:color w:val="000000"/>
                <w:lang w:eastAsia="en-GB"/>
              </w:rPr>
              <w:t>surrogate outcome</w:t>
            </w:r>
            <w:r w:rsidRPr="00815C88">
              <w:rPr>
                <w:rFonts w:ascii="Calibri" w:eastAsia="Times New Roman" w:hAnsi="Calibri" w:cs="Calibri"/>
                <w:color w:val="000000"/>
                <w:lang w:eastAsia="en-GB"/>
              </w:rPr>
              <w:t xml:space="preserve">, did previous experimental studies consistently demonstrate that change in </w:t>
            </w:r>
            <w:r>
              <w:rPr>
                <w:rFonts w:ascii="Calibri" w:eastAsia="Times New Roman" w:hAnsi="Calibri" w:cs="Calibri"/>
                <w:color w:val="000000"/>
                <w:lang w:eastAsia="en-GB"/>
              </w:rPr>
              <w:t>surrogate outcome</w:t>
            </w:r>
            <w:r w:rsidRPr="00815C88">
              <w:rPr>
                <w:rFonts w:ascii="Calibri" w:eastAsia="Times New Roman" w:hAnsi="Calibri" w:cs="Calibri"/>
                <w:color w:val="000000"/>
                <w:lang w:eastAsia="en-GB"/>
              </w:rPr>
              <w:t xml:space="preserve">(s) by a treatment led to </w:t>
            </w:r>
            <w:r w:rsidR="00C0350F">
              <w:rPr>
                <w:rFonts w:ascii="Calibri" w:eastAsia="Times New Roman" w:hAnsi="Calibri" w:cs="Calibri"/>
                <w:color w:val="000000"/>
                <w:lang w:eastAsia="en-GB"/>
              </w:rPr>
              <w:t xml:space="preserve">a comparable </w:t>
            </w:r>
            <w:r w:rsidRPr="00815C88">
              <w:rPr>
                <w:rFonts w:ascii="Calibri" w:eastAsia="Times New Roman" w:hAnsi="Calibri" w:cs="Calibri"/>
                <w:color w:val="000000"/>
                <w:lang w:eastAsia="en-GB"/>
              </w:rPr>
              <w:t>change in clinical outcomes?</w:t>
            </w:r>
          </w:p>
        </w:tc>
        <w:tc>
          <w:tcPr>
            <w:tcW w:w="3766" w:type="dxa"/>
            <w:tcBorders>
              <w:top w:val="nil"/>
              <w:left w:val="nil"/>
              <w:bottom w:val="single" w:sz="4" w:space="0" w:color="auto"/>
              <w:right w:val="single" w:sz="4" w:space="0" w:color="auto"/>
            </w:tcBorders>
            <w:shd w:val="clear" w:color="auto" w:fill="auto"/>
            <w:noWrap/>
            <w:vAlign w:val="center"/>
            <w:hideMark/>
          </w:tcPr>
          <w:p w14:paraId="5A8CADDE"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1.4 Have randomised trials involving the same or different class of drugs consistently demonstrated that improvement in surrogate outcome(s) led to improvement in clinical outcomes?</w:t>
            </w:r>
          </w:p>
        </w:tc>
        <w:tc>
          <w:tcPr>
            <w:tcW w:w="1179" w:type="dxa"/>
            <w:tcBorders>
              <w:top w:val="nil"/>
              <w:left w:val="nil"/>
              <w:bottom w:val="single" w:sz="4" w:space="0" w:color="auto"/>
              <w:right w:val="single" w:sz="4" w:space="0" w:color="auto"/>
            </w:tcBorders>
            <w:shd w:val="clear" w:color="auto" w:fill="auto"/>
            <w:noWrap/>
            <w:vAlign w:val="center"/>
            <w:hideMark/>
          </w:tcPr>
          <w:p w14:paraId="61F6F33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83.3%</w:t>
            </w:r>
          </w:p>
        </w:tc>
        <w:tc>
          <w:tcPr>
            <w:tcW w:w="1179" w:type="dxa"/>
            <w:tcBorders>
              <w:top w:val="nil"/>
              <w:left w:val="nil"/>
              <w:bottom w:val="single" w:sz="4" w:space="0" w:color="auto"/>
              <w:right w:val="single" w:sz="4" w:space="0" w:color="auto"/>
            </w:tcBorders>
            <w:shd w:val="clear" w:color="auto" w:fill="auto"/>
            <w:noWrap/>
            <w:vAlign w:val="center"/>
            <w:hideMark/>
          </w:tcPr>
          <w:p w14:paraId="59DD6F7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87.5%</w:t>
            </w:r>
          </w:p>
        </w:tc>
        <w:tc>
          <w:tcPr>
            <w:tcW w:w="1179" w:type="dxa"/>
            <w:tcBorders>
              <w:top w:val="nil"/>
              <w:left w:val="nil"/>
              <w:bottom w:val="single" w:sz="4" w:space="0" w:color="auto"/>
              <w:right w:val="single" w:sz="4" w:space="0" w:color="auto"/>
            </w:tcBorders>
            <w:shd w:val="clear" w:color="auto" w:fill="auto"/>
            <w:noWrap/>
            <w:vAlign w:val="center"/>
            <w:hideMark/>
          </w:tcPr>
          <w:p w14:paraId="1F09934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87.5%</w:t>
            </w:r>
          </w:p>
        </w:tc>
      </w:tr>
      <w:tr w:rsidR="00183710" w:rsidRPr="00815C88" w14:paraId="3FD5DD9D"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7B2B7"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1.6 Did a systematic review with or without meta-analysis demonstrate that the effect of an intervention or a similar intervention on a preclinical model was similar to that in humans?</w:t>
            </w:r>
          </w:p>
        </w:tc>
        <w:tc>
          <w:tcPr>
            <w:tcW w:w="3766" w:type="dxa"/>
            <w:tcBorders>
              <w:top w:val="nil"/>
              <w:left w:val="nil"/>
              <w:bottom w:val="single" w:sz="4" w:space="0" w:color="auto"/>
              <w:right w:val="single" w:sz="4" w:space="0" w:color="auto"/>
            </w:tcBorders>
            <w:shd w:val="clear" w:color="auto" w:fill="auto"/>
            <w:noWrap/>
            <w:vAlign w:val="center"/>
            <w:hideMark/>
          </w:tcPr>
          <w:p w14:paraId="41EFFA0F"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1.5 Did a systematic review demonstrate that the effect of an intervention on a preclinical model is similar to that in humans?</w:t>
            </w:r>
          </w:p>
        </w:tc>
        <w:tc>
          <w:tcPr>
            <w:tcW w:w="1179" w:type="dxa"/>
            <w:tcBorders>
              <w:top w:val="nil"/>
              <w:left w:val="nil"/>
              <w:bottom w:val="single" w:sz="4" w:space="0" w:color="auto"/>
              <w:right w:val="single" w:sz="4" w:space="0" w:color="auto"/>
            </w:tcBorders>
            <w:shd w:val="clear" w:color="auto" w:fill="auto"/>
            <w:noWrap/>
            <w:vAlign w:val="center"/>
            <w:hideMark/>
          </w:tcPr>
          <w:p w14:paraId="2E58FAA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61.1%</w:t>
            </w:r>
          </w:p>
        </w:tc>
        <w:tc>
          <w:tcPr>
            <w:tcW w:w="1179" w:type="dxa"/>
            <w:tcBorders>
              <w:top w:val="nil"/>
              <w:left w:val="nil"/>
              <w:bottom w:val="single" w:sz="4" w:space="0" w:color="auto"/>
              <w:right w:val="single" w:sz="4" w:space="0" w:color="auto"/>
            </w:tcBorders>
            <w:shd w:val="clear" w:color="auto" w:fill="auto"/>
            <w:noWrap/>
            <w:vAlign w:val="center"/>
            <w:hideMark/>
          </w:tcPr>
          <w:p w14:paraId="26948D0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66.7%</w:t>
            </w:r>
          </w:p>
        </w:tc>
        <w:tc>
          <w:tcPr>
            <w:tcW w:w="1179" w:type="dxa"/>
            <w:tcBorders>
              <w:top w:val="nil"/>
              <w:left w:val="nil"/>
              <w:bottom w:val="single" w:sz="4" w:space="0" w:color="auto"/>
              <w:right w:val="single" w:sz="4" w:space="0" w:color="auto"/>
            </w:tcBorders>
            <w:shd w:val="clear" w:color="auto" w:fill="auto"/>
            <w:noWrap/>
            <w:vAlign w:val="center"/>
            <w:hideMark/>
          </w:tcPr>
          <w:p w14:paraId="2BF3B79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73.3%</w:t>
            </w:r>
          </w:p>
        </w:tc>
      </w:tr>
      <w:tr w:rsidR="00183710" w:rsidRPr="00815C88" w14:paraId="5FEDE544"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A3A2C2"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1</w:t>
            </w:r>
            <w:r w:rsidRPr="00815C88">
              <w:rPr>
                <w:rFonts w:ascii="Calibri" w:eastAsia="Times New Roman" w:hAnsi="Calibri" w:cs="Calibri"/>
                <w:color w:val="000000"/>
                <w:lang w:eastAsia="en-GB"/>
              </w:rPr>
              <w:t xml:space="preserve"> Did the authors describe sample size calculations?</w:t>
            </w:r>
          </w:p>
        </w:tc>
        <w:tc>
          <w:tcPr>
            <w:tcW w:w="3766" w:type="dxa"/>
            <w:tcBorders>
              <w:top w:val="nil"/>
              <w:left w:val="nil"/>
              <w:bottom w:val="single" w:sz="4" w:space="0" w:color="auto"/>
              <w:right w:val="single" w:sz="4" w:space="0" w:color="auto"/>
            </w:tcBorders>
            <w:shd w:val="clear" w:color="auto" w:fill="auto"/>
            <w:noWrap/>
            <w:vAlign w:val="center"/>
            <w:hideMark/>
          </w:tcPr>
          <w:p w14:paraId="42A7B45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7.1 Was an appropriate level of random error chosen for sample size calculations?</w:t>
            </w:r>
          </w:p>
        </w:tc>
        <w:tc>
          <w:tcPr>
            <w:tcW w:w="1179" w:type="dxa"/>
            <w:tcBorders>
              <w:top w:val="nil"/>
              <w:left w:val="nil"/>
              <w:bottom w:val="single" w:sz="4" w:space="0" w:color="auto"/>
              <w:right w:val="single" w:sz="4" w:space="0" w:color="auto"/>
            </w:tcBorders>
            <w:shd w:val="clear" w:color="auto" w:fill="auto"/>
            <w:noWrap/>
            <w:vAlign w:val="center"/>
            <w:hideMark/>
          </w:tcPr>
          <w:p w14:paraId="36BE022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84.2%</w:t>
            </w:r>
          </w:p>
        </w:tc>
        <w:tc>
          <w:tcPr>
            <w:tcW w:w="1179" w:type="dxa"/>
            <w:tcBorders>
              <w:top w:val="nil"/>
              <w:left w:val="nil"/>
              <w:bottom w:val="single" w:sz="4" w:space="0" w:color="auto"/>
              <w:right w:val="single" w:sz="4" w:space="0" w:color="auto"/>
            </w:tcBorders>
            <w:shd w:val="clear" w:color="auto" w:fill="auto"/>
            <w:noWrap/>
            <w:vAlign w:val="center"/>
            <w:hideMark/>
          </w:tcPr>
          <w:p w14:paraId="3264C9B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c>
          <w:tcPr>
            <w:tcW w:w="1179" w:type="dxa"/>
            <w:tcBorders>
              <w:top w:val="nil"/>
              <w:left w:val="nil"/>
              <w:bottom w:val="single" w:sz="4" w:space="0" w:color="auto"/>
              <w:right w:val="single" w:sz="4" w:space="0" w:color="auto"/>
            </w:tcBorders>
            <w:shd w:val="clear" w:color="auto" w:fill="auto"/>
            <w:noWrap/>
            <w:vAlign w:val="center"/>
            <w:hideMark/>
          </w:tcPr>
          <w:p w14:paraId="5F9B328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5BA71395"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15072"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2</w:t>
            </w:r>
            <w:r w:rsidRPr="00815C88">
              <w:rPr>
                <w:rFonts w:ascii="Calibri" w:eastAsia="Times New Roman" w:hAnsi="Calibri" w:cs="Calibri"/>
                <w:color w:val="000000"/>
                <w:lang w:eastAsia="en-GB"/>
              </w:rPr>
              <w:t xml:space="preserve"> Did the authors plan and perform statistical tests taking the type of data, </w:t>
            </w:r>
            <w:r w:rsidRPr="00815C88">
              <w:rPr>
                <w:rFonts w:ascii="Calibri" w:eastAsia="Times New Roman" w:hAnsi="Calibri" w:cs="Calibri"/>
                <w:color w:val="000000"/>
                <w:lang w:eastAsia="en-GB"/>
              </w:rPr>
              <w:lastRenderedPageBreak/>
              <w:t>the distribution of data, and the number of groups into account?</w:t>
            </w:r>
          </w:p>
        </w:tc>
        <w:tc>
          <w:tcPr>
            <w:tcW w:w="3766" w:type="dxa"/>
            <w:tcBorders>
              <w:top w:val="nil"/>
              <w:left w:val="nil"/>
              <w:bottom w:val="single" w:sz="4" w:space="0" w:color="auto"/>
              <w:right w:val="single" w:sz="4" w:space="0" w:color="auto"/>
            </w:tcBorders>
            <w:shd w:val="clear" w:color="auto" w:fill="auto"/>
            <w:noWrap/>
            <w:vAlign w:val="center"/>
            <w:hideMark/>
          </w:tcPr>
          <w:p w14:paraId="2FF8111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lastRenderedPageBreak/>
              <w:t xml:space="preserve">7.3 Were appropriate statistical tests performed? This depends upon the type of data, the </w:t>
            </w:r>
            <w:r w:rsidRPr="00815C88">
              <w:rPr>
                <w:rFonts w:ascii="Calibri" w:eastAsia="Times New Roman" w:hAnsi="Calibri" w:cs="Calibri"/>
                <w:color w:val="000000"/>
                <w:lang w:eastAsia="en-GB"/>
              </w:rPr>
              <w:lastRenderedPageBreak/>
              <w:t>distribution of data, and the type of comparison.</w:t>
            </w:r>
          </w:p>
        </w:tc>
        <w:tc>
          <w:tcPr>
            <w:tcW w:w="1179" w:type="dxa"/>
            <w:tcBorders>
              <w:top w:val="nil"/>
              <w:left w:val="nil"/>
              <w:bottom w:val="single" w:sz="4" w:space="0" w:color="auto"/>
              <w:right w:val="single" w:sz="4" w:space="0" w:color="auto"/>
            </w:tcBorders>
            <w:shd w:val="clear" w:color="auto" w:fill="auto"/>
            <w:noWrap/>
            <w:vAlign w:val="center"/>
            <w:hideMark/>
          </w:tcPr>
          <w:p w14:paraId="5AB4538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lastRenderedPageBreak/>
              <w:t>95.0%</w:t>
            </w:r>
          </w:p>
        </w:tc>
        <w:tc>
          <w:tcPr>
            <w:tcW w:w="1179" w:type="dxa"/>
            <w:tcBorders>
              <w:top w:val="nil"/>
              <w:left w:val="nil"/>
              <w:bottom w:val="single" w:sz="4" w:space="0" w:color="auto"/>
              <w:right w:val="single" w:sz="4" w:space="0" w:color="auto"/>
            </w:tcBorders>
            <w:shd w:val="clear" w:color="auto" w:fill="auto"/>
            <w:noWrap/>
            <w:vAlign w:val="center"/>
            <w:hideMark/>
          </w:tcPr>
          <w:p w14:paraId="52F465E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04F59022"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67FA6EF5"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733E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307F6A5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7.5 In the case of multivariate analysis, were the assumptions of analysis </w:t>
            </w:r>
            <w:proofErr w:type="spellStart"/>
            <w:r w:rsidRPr="00815C88">
              <w:rPr>
                <w:rFonts w:ascii="Calibri" w:eastAsia="Times New Roman" w:hAnsi="Calibri" w:cs="Calibri"/>
                <w:color w:val="000000"/>
                <w:lang w:eastAsia="en-GB"/>
              </w:rPr>
              <w:t>true?</w:t>
            </w:r>
            <w:r w:rsidRPr="0079466E">
              <w:rPr>
                <w:rFonts w:ascii="Calibri" w:eastAsia="Times New Roman" w:hAnsi="Calibri" w:cs="Calibri"/>
                <w:color w:val="000000"/>
                <w:vertAlign w:val="superscript"/>
                <w:lang w:eastAsia="en-GB"/>
              </w:rPr>
              <w:t>f</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231FF07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89.5%</w:t>
            </w:r>
          </w:p>
        </w:tc>
        <w:tc>
          <w:tcPr>
            <w:tcW w:w="1179" w:type="dxa"/>
            <w:tcBorders>
              <w:top w:val="nil"/>
              <w:left w:val="nil"/>
              <w:bottom w:val="single" w:sz="4" w:space="0" w:color="auto"/>
              <w:right w:val="single" w:sz="4" w:space="0" w:color="auto"/>
            </w:tcBorders>
            <w:shd w:val="clear" w:color="auto" w:fill="auto"/>
            <w:noWrap/>
            <w:vAlign w:val="center"/>
            <w:hideMark/>
          </w:tcPr>
          <w:p w14:paraId="1B57C83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c>
          <w:tcPr>
            <w:tcW w:w="1179" w:type="dxa"/>
            <w:tcBorders>
              <w:top w:val="nil"/>
              <w:left w:val="nil"/>
              <w:bottom w:val="single" w:sz="4" w:space="0" w:color="auto"/>
              <w:right w:val="single" w:sz="4" w:space="0" w:color="auto"/>
            </w:tcBorders>
            <w:shd w:val="clear" w:color="auto" w:fill="auto"/>
            <w:noWrap/>
            <w:vAlign w:val="center"/>
            <w:hideMark/>
          </w:tcPr>
          <w:p w14:paraId="11A7A89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81.3%</w:t>
            </w:r>
          </w:p>
        </w:tc>
      </w:tr>
      <w:tr w:rsidR="00183710" w:rsidRPr="00815C88" w14:paraId="21C3333A"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7F9442"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3</w:t>
            </w:r>
            <w:r w:rsidRPr="00815C88">
              <w:rPr>
                <w:rFonts w:ascii="Calibri" w:eastAsia="Times New Roman" w:hAnsi="Calibri" w:cs="Calibri"/>
                <w:color w:val="000000"/>
                <w:lang w:eastAsia="en-GB"/>
              </w:rPr>
              <w:t xml:space="preserve"> Did the authors make adjustment for multiple hypothesis testing?</w:t>
            </w:r>
          </w:p>
        </w:tc>
        <w:tc>
          <w:tcPr>
            <w:tcW w:w="3766" w:type="dxa"/>
            <w:tcBorders>
              <w:top w:val="nil"/>
              <w:left w:val="nil"/>
              <w:bottom w:val="single" w:sz="4" w:space="0" w:color="auto"/>
              <w:right w:val="single" w:sz="4" w:space="0" w:color="auto"/>
            </w:tcBorders>
            <w:shd w:val="clear" w:color="auto" w:fill="auto"/>
            <w:noWrap/>
            <w:vAlign w:val="center"/>
            <w:hideMark/>
          </w:tcPr>
          <w:p w14:paraId="726766F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7.4 Was adjustment made for multiple testing?</w:t>
            </w:r>
          </w:p>
        </w:tc>
        <w:tc>
          <w:tcPr>
            <w:tcW w:w="1179" w:type="dxa"/>
            <w:tcBorders>
              <w:top w:val="nil"/>
              <w:left w:val="nil"/>
              <w:bottom w:val="single" w:sz="4" w:space="0" w:color="auto"/>
              <w:right w:val="single" w:sz="4" w:space="0" w:color="auto"/>
            </w:tcBorders>
            <w:shd w:val="clear" w:color="auto" w:fill="auto"/>
            <w:noWrap/>
            <w:vAlign w:val="center"/>
            <w:hideMark/>
          </w:tcPr>
          <w:p w14:paraId="03E6EEE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84.2%</w:t>
            </w:r>
          </w:p>
        </w:tc>
        <w:tc>
          <w:tcPr>
            <w:tcW w:w="1179" w:type="dxa"/>
            <w:tcBorders>
              <w:top w:val="nil"/>
              <w:left w:val="nil"/>
              <w:bottom w:val="single" w:sz="4" w:space="0" w:color="auto"/>
              <w:right w:val="single" w:sz="4" w:space="0" w:color="auto"/>
            </w:tcBorders>
            <w:shd w:val="clear" w:color="auto" w:fill="auto"/>
            <w:noWrap/>
            <w:vAlign w:val="center"/>
            <w:hideMark/>
          </w:tcPr>
          <w:p w14:paraId="4D67B21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c>
          <w:tcPr>
            <w:tcW w:w="1179" w:type="dxa"/>
            <w:tcBorders>
              <w:top w:val="nil"/>
              <w:left w:val="nil"/>
              <w:bottom w:val="single" w:sz="4" w:space="0" w:color="auto"/>
              <w:right w:val="single" w:sz="4" w:space="0" w:color="auto"/>
            </w:tcBorders>
            <w:shd w:val="clear" w:color="auto" w:fill="auto"/>
            <w:noWrap/>
            <w:vAlign w:val="center"/>
            <w:hideMark/>
          </w:tcPr>
          <w:p w14:paraId="1E28E41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94.1%</w:t>
            </w:r>
          </w:p>
        </w:tc>
      </w:tr>
      <w:tr w:rsidR="00183710" w:rsidRPr="00815C88" w14:paraId="329A745D"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910EFC"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4</w:t>
            </w:r>
            <w:r w:rsidRPr="00815C88">
              <w:rPr>
                <w:rFonts w:ascii="Calibri" w:eastAsia="Times New Roman" w:hAnsi="Calibri" w:cs="Calibri"/>
                <w:color w:val="000000"/>
                <w:lang w:eastAsia="en-GB"/>
              </w:rPr>
              <w:t xml:space="preserve"> If a dose-response analysis was conducted, did the authors describe the results?</w:t>
            </w:r>
          </w:p>
        </w:tc>
        <w:tc>
          <w:tcPr>
            <w:tcW w:w="3766" w:type="dxa"/>
            <w:tcBorders>
              <w:top w:val="nil"/>
              <w:left w:val="nil"/>
              <w:bottom w:val="single" w:sz="4" w:space="0" w:color="auto"/>
              <w:right w:val="single" w:sz="4" w:space="0" w:color="auto"/>
            </w:tcBorders>
            <w:shd w:val="clear" w:color="auto" w:fill="auto"/>
            <w:noWrap/>
            <w:vAlign w:val="center"/>
            <w:hideMark/>
          </w:tcPr>
          <w:p w14:paraId="4FF8CE5C"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7.6 If a dose-response relation is feasible, was the dose-response relationship reported which strengthens the association and conclusions?</w:t>
            </w:r>
          </w:p>
        </w:tc>
        <w:tc>
          <w:tcPr>
            <w:tcW w:w="1179" w:type="dxa"/>
            <w:tcBorders>
              <w:top w:val="nil"/>
              <w:left w:val="nil"/>
              <w:bottom w:val="single" w:sz="4" w:space="0" w:color="auto"/>
              <w:right w:val="single" w:sz="4" w:space="0" w:color="auto"/>
            </w:tcBorders>
            <w:shd w:val="clear" w:color="auto" w:fill="auto"/>
            <w:noWrap/>
            <w:vAlign w:val="center"/>
            <w:hideMark/>
          </w:tcPr>
          <w:p w14:paraId="1711801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77.8%</w:t>
            </w:r>
          </w:p>
        </w:tc>
        <w:tc>
          <w:tcPr>
            <w:tcW w:w="1179" w:type="dxa"/>
            <w:tcBorders>
              <w:top w:val="nil"/>
              <w:left w:val="nil"/>
              <w:bottom w:val="single" w:sz="4" w:space="0" w:color="auto"/>
              <w:right w:val="single" w:sz="4" w:space="0" w:color="auto"/>
            </w:tcBorders>
            <w:shd w:val="clear" w:color="auto" w:fill="auto"/>
            <w:noWrap/>
            <w:vAlign w:val="center"/>
            <w:hideMark/>
          </w:tcPr>
          <w:p w14:paraId="156B653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86.7%</w:t>
            </w:r>
          </w:p>
        </w:tc>
        <w:tc>
          <w:tcPr>
            <w:tcW w:w="1179" w:type="dxa"/>
            <w:tcBorders>
              <w:top w:val="nil"/>
              <w:left w:val="nil"/>
              <w:bottom w:val="single" w:sz="4" w:space="0" w:color="auto"/>
              <w:right w:val="single" w:sz="4" w:space="0" w:color="auto"/>
            </w:tcBorders>
            <w:shd w:val="clear" w:color="auto" w:fill="auto"/>
            <w:noWrap/>
            <w:vAlign w:val="center"/>
            <w:hideMark/>
          </w:tcPr>
          <w:p w14:paraId="5417DD8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23E901A8"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6ED1F9"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5</w:t>
            </w:r>
            <w:r w:rsidRPr="00815C88">
              <w:rPr>
                <w:rFonts w:ascii="Calibri" w:eastAsia="Times New Roman" w:hAnsi="Calibri" w:cs="Calibri"/>
                <w:color w:val="000000"/>
                <w:lang w:eastAsia="en-GB"/>
              </w:rPr>
              <w:t xml:space="preserve"> Did the authors assess and report accuracy?</w:t>
            </w:r>
            <w:r w:rsidRPr="00815C88">
              <w:rPr>
                <w:rFonts w:ascii="Calibri" w:eastAsia="Times New Roman" w:hAnsi="Calibri" w:cs="Calibri"/>
                <w:color w:val="000000"/>
                <w:lang w:eastAsia="en-GB"/>
              </w:rPr>
              <w:br/>
            </w:r>
            <w:r>
              <w:rPr>
                <w:rFonts w:ascii="Calibri" w:eastAsia="Times New Roman" w:hAnsi="Calibri" w:cs="Calibri"/>
                <w:color w:val="000000"/>
                <w:lang w:eastAsia="en-GB"/>
              </w:rPr>
              <w:t xml:space="preserve">2.6 </w:t>
            </w:r>
            <w:r w:rsidRPr="00815C88">
              <w:rPr>
                <w:rFonts w:ascii="Calibri" w:eastAsia="Times New Roman" w:hAnsi="Calibri" w:cs="Calibri"/>
                <w:color w:val="000000"/>
                <w:lang w:eastAsia="en-GB"/>
              </w:rPr>
              <w:t>Did the authors assess and report precision?</w:t>
            </w:r>
            <w:r w:rsidRPr="00815C88">
              <w:rPr>
                <w:rFonts w:ascii="Calibri" w:eastAsia="Times New Roman" w:hAnsi="Calibri" w:cs="Calibri"/>
                <w:color w:val="000000"/>
                <w:lang w:eastAsia="en-GB"/>
              </w:rPr>
              <w:br/>
            </w:r>
            <w:r>
              <w:rPr>
                <w:rFonts w:ascii="Calibri" w:eastAsia="Times New Roman" w:hAnsi="Calibri" w:cs="Calibri"/>
                <w:color w:val="000000"/>
                <w:lang w:eastAsia="en-GB"/>
              </w:rPr>
              <w:t xml:space="preserve">2.7 </w:t>
            </w:r>
            <w:r w:rsidRPr="00815C88">
              <w:rPr>
                <w:rFonts w:ascii="Calibri" w:eastAsia="Times New Roman" w:hAnsi="Calibri" w:cs="Calibri"/>
                <w:color w:val="000000"/>
                <w:lang w:eastAsia="en-GB"/>
              </w:rPr>
              <w:t>Did the authors assess and report sampling error?</w:t>
            </w:r>
          </w:p>
        </w:tc>
        <w:tc>
          <w:tcPr>
            <w:tcW w:w="3766" w:type="dxa"/>
            <w:tcBorders>
              <w:top w:val="nil"/>
              <w:left w:val="nil"/>
              <w:bottom w:val="single" w:sz="4" w:space="0" w:color="auto"/>
              <w:right w:val="single" w:sz="4" w:space="0" w:color="auto"/>
            </w:tcBorders>
            <w:shd w:val="clear" w:color="auto" w:fill="auto"/>
            <w:noWrap/>
            <w:vAlign w:val="center"/>
            <w:hideMark/>
          </w:tcPr>
          <w:p w14:paraId="387A348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4.1 Has the measurement error been assessed </w:t>
            </w:r>
            <w:proofErr w:type="spellStart"/>
            <w:r w:rsidRPr="00815C88">
              <w:rPr>
                <w:rFonts w:ascii="Calibri" w:eastAsia="Times New Roman" w:hAnsi="Calibri" w:cs="Calibri"/>
                <w:color w:val="000000"/>
                <w:lang w:eastAsia="en-GB"/>
              </w:rPr>
              <w:t>appropriately?</w:t>
            </w:r>
            <w:r w:rsidRPr="00BA50A3">
              <w:rPr>
                <w:rFonts w:ascii="Calibri" w:eastAsia="Times New Roman" w:hAnsi="Calibri" w:cs="Calibri"/>
                <w:color w:val="000000"/>
                <w:vertAlign w:val="superscript"/>
                <w:lang w:eastAsia="en-GB"/>
              </w:rPr>
              <w:t>g</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433D9DD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85.0%</w:t>
            </w:r>
          </w:p>
        </w:tc>
        <w:tc>
          <w:tcPr>
            <w:tcW w:w="1179" w:type="dxa"/>
            <w:tcBorders>
              <w:top w:val="nil"/>
              <w:left w:val="nil"/>
              <w:bottom w:val="single" w:sz="4" w:space="0" w:color="auto"/>
              <w:right w:val="single" w:sz="4" w:space="0" w:color="auto"/>
            </w:tcBorders>
            <w:shd w:val="clear" w:color="auto" w:fill="auto"/>
            <w:noWrap/>
            <w:vAlign w:val="center"/>
            <w:hideMark/>
          </w:tcPr>
          <w:p w14:paraId="2DDD44E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c>
          <w:tcPr>
            <w:tcW w:w="1179" w:type="dxa"/>
            <w:tcBorders>
              <w:top w:val="nil"/>
              <w:left w:val="nil"/>
              <w:bottom w:val="single" w:sz="4" w:space="0" w:color="auto"/>
              <w:right w:val="single" w:sz="4" w:space="0" w:color="auto"/>
            </w:tcBorders>
            <w:shd w:val="clear" w:color="auto" w:fill="auto"/>
            <w:noWrap/>
            <w:vAlign w:val="center"/>
            <w:hideMark/>
          </w:tcPr>
          <w:p w14:paraId="1CA93F2A"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r>
      <w:tr w:rsidR="00183710" w:rsidRPr="00815C88" w14:paraId="4C2D9567"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F143E0"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r w:rsidRPr="00815C88">
              <w:rPr>
                <w:rFonts w:ascii="Calibri" w:eastAsia="Times New Roman" w:hAnsi="Calibri" w:cs="Calibri"/>
                <w:color w:val="000000"/>
                <w:lang w:eastAsia="en-GB"/>
              </w:rPr>
              <w:t>.</w:t>
            </w:r>
            <w:r>
              <w:rPr>
                <w:rFonts w:ascii="Calibri" w:eastAsia="Times New Roman" w:hAnsi="Calibri" w:cs="Calibri"/>
                <w:color w:val="000000"/>
                <w:lang w:eastAsia="en-GB"/>
              </w:rPr>
              <w:t>8</w:t>
            </w:r>
            <w:r w:rsidRPr="00815C88">
              <w:rPr>
                <w:rFonts w:ascii="Calibri" w:eastAsia="Times New Roman" w:hAnsi="Calibri" w:cs="Calibri"/>
                <w:color w:val="000000"/>
                <w:lang w:eastAsia="en-GB"/>
              </w:rPr>
              <w:t xml:space="preserve"> Was the measurement error low or was the measurement error adjusted in statistical analysis?</w:t>
            </w:r>
          </w:p>
        </w:tc>
        <w:tc>
          <w:tcPr>
            <w:tcW w:w="3766" w:type="dxa"/>
            <w:tcBorders>
              <w:top w:val="nil"/>
              <w:left w:val="nil"/>
              <w:bottom w:val="single" w:sz="4" w:space="0" w:color="auto"/>
              <w:right w:val="single" w:sz="4" w:space="0" w:color="auto"/>
            </w:tcBorders>
            <w:shd w:val="clear" w:color="auto" w:fill="auto"/>
            <w:noWrap/>
            <w:vAlign w:val="center"/>
            <w:hideMark/>
          </w:tcPr>
          <w:p w14:paraId="0EC5CAE9"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4.2 Has the measurement error been adjusted appropriately?</w:t>
            </w:r>
          </w:p>
        </w:tc>
        <w:tc>
          <w:tcPr>
            <w:tcW w:w="1179" w:type="dxa"/>
            <w:tcBorders>
              <w:top w:val="nil"/>
              <w:left w:val="nil"/>
              <w:bottom w:val="single" w:sz="4" w:space="0" w:color="auto"/>
              <w:right w:val="single" w:sz="4" w:space="0" w:color="auto"/>
            </w:tcBorders>
            <w:shd w:val="clear" w:color="auto" w:fill="auto"/>
            <w:noWrap/>
            <w:vAlign w:val="center"/>
            <w:hideMark/>
          </w:tcPr>
          <w:p w14:paraId="5505FAA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65.0%</w:t>
            </w:r>
          </w:p>
        </w:tc>
        <w:tc>
          <w:tcPr>
            <w:tcW w:w="1179" w:type="dxa"/>
            <w:tcBorders>
              <w:top w:val="nil"/>
              <w:left w:val="nil"/>
              <w:bottom w:val="single" w:sz="4" w:space="0" w:color="auto"/>
              <w:right w:val="single" w:sz="4" w:space="0" w:color="auto"/>
            </w:tcBorders>
            <w:shd w:val="clear" w:color="auto" w:fill="auto"/>
            <w:noWrap/>
            <w:vAlign w:val="center"/>
            <w:hideMark/>
          </w:tcPr>
          <w:p w14:paraId="616DA05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70.6%</w:t>
            </w:r>
          </w:p>
        </w:tc>
        <w:tc>
          <w:tcPr>
            <w:tcW w:w="1179" w:type="dxa"/>
            <w:tcBorders>
              <w:top w:val="nil"/>
              <w:left w:val="nil"/>
              <w:bottom w:val="single" w:sz="4" w:space="0" w:color="auto"/>
              <w:right w:val="single" w:sz="4" w:space="0" w:color="auto"/>
            </w:tcBorders>
            <w:shd w:val="clear" w:color="auto" w:fill="auto"/>
            <w:noWrap/>
            <w:vAlign w:val="center"/>
            <w:hideMark/>
          </w:tcPr>
          <w:p w14:paraId="45AE5632"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70.6%</w:t>
            </w:r>
          </w:p>
        </w:tc>
      </w:tr>
      <w:tr w:rsidR="00183710" w:rsidRPr="00815C88" w14:paraId="08067D1C"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C97713"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3.1 Did the authors minimise the risks of bias such as selection bias, confounding bias, performance bias, detection bias, attrition bias, and selective outcome reporting bias?</w:t>
            </w:r>
          </w:p>
        </w:tc>
        <w:tc>
          <w:tcPr>
            <w:tcW w:w="3766" w:type="dxa"/>
            <w:tcBorders>
              <w:top w:val="nil"/>
              <w:left w:val="nil"/>
              <w:bottom w:val="single" w:sz="4" w:space="0" w:color="auto"/>
              <w:right w:val="single" w:sz="4" w:space="0" w:color="auto"/>
            </w:tcBorders>
            <w:shd w:val="clear" w:color="auto" w:fill="auto"/>
            <w:noWrap/>
            <w:vAlign w:val="center"/>
            <w:hideMark/>
          </w:tcPr>
          <w:p w14:paraId="4AE9C189"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3.1 SYRCLE's risk of bias tool for animal research (in vivo research) should be used to assess the risk of bias in animal research</w:t>
            </w:r>
          </w:p>
        </w:tc>
        <w:tc>
          <w:tcPr>
            <w:tcW w:w="1179" w:type="dxa"/>
            <w:tcBorders>
              <w:top w:val="nil"/>
              <w:left w:val="nil"/>
              <w:bottom w:val="single" w:sz="4" w:space="0" w:color="auto"/>
              <w:right w:val="single" w:sz="4" w:space="0" w:color="auto"/>
            </w:tcBorders>
            <w:shd w:val="clear" w:color="auto" w:fill="auto"/>
            <w:noWrap/>
            <w:vAlign w:val="center"/>
            <w:hideMark/>
          </w:tcPr>
          <w:p w14:paraId="04B2700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68.4%</w:t>
            </w:r>
          </w:p>
        </w:tc>
        <w:tc>
          <w:tcPr>
            <w:tcW w:w="1179" w:type="dxa"/>
            <w:tcBorders>
              <w:top w:val="nil"/>
              <w:left w:val="nil"/>
              <w:bottom w:val="single" w:sz="4" w:space="0" w:color="auto"/>
              <w:right w:val="single" w:sz="4" w:space="0" w:color="auto"/>
            </w:tcBorders>
            <w:shd w:val="clear" w:color="auto" w:fill="auto"/>
            <w:noWrap/>
            <w:vAlign w:val="center"/>
            <w:hideMark/>
          </w:tcPr>
          <w:p w14:paraId="4C7F719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c>
          <w:tcPr>
            <w:tcW w:w="1179" w:type="dxa"/>
            <w:tcBorders>
              <w:top w:val="nil"/>
              <w:left w:val="nil"/>
              <w:bottom w:val="single" w:sz="4" w:space="0" w:color="auto"/>
              <w:right w:val="single" w:sz="4" w:space="0" w:color="auto"/>
            </w:tcBorders>
            <w:shd w:val="clear" w:color="auto" w:fill="auto"/>
            <w:noWrap/>
            <w:vAlign w:val="center"/>
            <w:hideMark/>
          </w:tcPr>
          <w:p w14:paraId="503478AE"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490C1629"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A631A"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Pr="00815C88">
              <w:rPr>
                <w:rFonts w:ascii="Calibri" w:eastAsia="Times New Roman" w:hAnsi="Calibri" w:cs="Calibri"/>
                <w:color w:val="000000"/>
                <w:lang w:eastAsia="en-GB"/>
              </w:rPr>
              <w:t>.1 Were the results reproduced with alternative preclinical models of the disease/condition being investigated?</w:t>
            </w:r>
          </w:p>
        </w:tc>
        <w:tc>
          <w:tcPr>
            <w:tcW w:w="3766" w:type="dxa"/>
            <w:tcBorders>
              <w:top w:val="nil"/>
              <w:left w:val="nil"/>
              <w:bottom w:val="single" w:sz="4" w:space="0" w:color="auto"/>
              <w:right w:val="single" w:sz="4" w:space="0" w:color="auto"/>
            </w:tcBorders>
            <w:shd w:val="clear" w:color="auto" w:fill="auto"/>
            <w:noWrap/>
            <w:vAlign w:val="center"/>
            <w:hideMark/>
          </w:tcPr>
          <w:p w14:paraId="4FB8C4AC"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2.3 Can the results be reproduced with a different pre-clinical model of the disease condition investigated?</w:t>
            </w:r>
          </w:p>
        </w:tc>
        <w:tc>
          <w:tcPr>
            <w:tcW w:w="1179" w:type="dxa"/>
            <w:tcBorders>
              <w:top w:val="nil"/>
              <w:left w:val="nil"/>
              <w:bottom w:val="single" w:sz="4" w:space="0" w:color="auto"/>
              <w:right w:val="single" w:sz="4" w:space="0" w:color="auto"/>
            </w:tcBorders>
            <w:shd w:val="clear" w:color="auto" w:fill="auto"/>
            <w:noWrap/>
            <w:vAlign w:val="center"/>
            <w:hideMark/>
          </w:tcPr>
          <w:p w14:paraId="7E5DC76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78.9%</w:t>
            </w:r>
          </w:p>
        </w:tc>
        <w:tc>
          <w:tcPr>
            <w:tcW w:w="1179" w:type="dxa"/>
            <w:tcBorders>
              <w:top w:val="nil"/>
              <w:left w:val="nil"/>
              <w:bottom w:val="single" w:sz="4" w:space="0" w:color="auto"/>
              <w:right w:val="single" w:sz="4" w:space="0" w:color="auto"/>
            </w:tcBorders>
            <w:shd w:val="clear" w:color="auto" w:fill="auto"/>
            <w:noWrap/>
            <w:vAlign w:val="center"/>
            <w:hideMark/>
          </w:tcPr>
          <w:p w14:paraId="6EB8DC1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87.5%</w:t>
            </w:r>
          </w:p>
        </w:tc>
        <w:tc>
          <w:tcPr>
            <w:tcW w:w="1179" w:type="dxa"/>
            <w:tcBorders>
              <w:top w:val="nil"/>
              <w:left w:val="nil"/>
              <w:bottom w:val="single" w:sz="4" w:space="0" w:color="auto"/>
              <w:right w:val="single" w:sz="4" w:space="0" w:color="auto"/>
            </w:tcBorders>
            <w:shd w:val="clear" w:color="auto" w:fill="auto"/>
            <w:noWrap/>
            <w:vAlign w:val="center"/>
            <w:hideMark/>
          </w:tcPr>
          <w:p w14:paraId="44DF63FF"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r>
      <w:tr w:rsidR="00183710" w:rsidRPr="00815C88" w14:paraId="5BEABB86"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B0BA4"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4</w:t>
            </w:r>
            <w:r w:rsidRPr="00815C88">
              <w:rPr>
                <w:rFonts w:ascii="Calibri" w:eastAsia="Times New Roman" w:hAnsi="Calibri" w:cs="Calibri"/>
                <w:color w:val="000000"/>
                <w:lang w:eastAsia="en-GB"/>
              </w:rPr>
              <w:t xml:space="preserve">.2 </w:t>
            </w:r>
            <w:r>
              <w:rPr>
                <w:rFonts w:ascii="Calibri" w:eastAsia="Times New Roman" w:hAnsi="Calibri" w:cs="Calibri"/>
                <w:color w:val="000000"/>
                <w:lang w:eastAsia="en-GB"/>
              </w:rPr>
              <w:t xml:space="preserve">Were the results consistent across a range of clinically relevant </w:t>
            </w:r>
            <w:r w:rsidRPr="002A1F02">
              <w:rPr>
                <w:rFonts w:eastAsia="Times New Roman"/>
                <w:lang w:eastAsia="en-GB"/>
              </w:rPr>
              <w:t>variations in the model</w:t>
            </w:r>
            <w:r>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75BA903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2.2 Are the results generalisable across different types of individuals of the model?</w:t>
            </w:r>
          </w:p>
        </w:tc>
        <w:tc>
          <w:tcPr>
            <w:tcW w:w="1179" w:type="dxa"/>
            <w:tcBorders>
              <w:top w:val="nil"/>
              <w:left w:val="nil"/>
              <w:bottom w:val="single" w:sz="4" w:space="0" w:color="auto"/>
              <w:right w:val="single" w:sz="4" w:space="0" w:color="auto"/>
            </w:tcBorders>
            <w:shd w:val="clear" w:color="auto" w:fill="auto"/>
            <w:noWrap/>
            <w:vAlign w:val="center"/>
            <w:hideMark/>
          </w:tcPr>
          <w:p w14:paraId="113C18CE"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88.9%</w:t>
            </w:r>
          </w:p>
        </w:tc>
        <w:tc>
          <w:tcPr>
            <w:tcW w:w="1179" w:type="dxa"/>
            <w:tcBorders>
              <w:top w:val="nil"/>
              <w:left w:val="nil"/>
              <w:bottom w:val="single" w:sz="4" w:space="0" w:color="auto"/>
              <w:right w:val="single" w:sz="4" w:space="0" w:color="auto"/>
            </w:tcBorders>
            <w:shd w:val="clear" w:color="auto" w:fill="auto"/>
            <w:noWrap/>
            <w:vAlign w:val="center"/>
            <w:hideMark/>
          </w:tcPr>
          <w:p w14:paraId="4990439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c>
          <w:tcPr>
            <w:tcW w:w="1179" w:type="dxa"/>
            <w:tcBorders>
              <w:top w:val="nil"/>
              <w:left w:val="nil"/>
              <w:bottom w:val="single" w:sz="4" w:space="0" w:color="auto"/>
              <w:right w:val="single" w:sz="4" w:space="0" w:color="auto"/>
            </w:tcBorders>
            <w:shd w:val="clear" w:color="auto" w:fill="auto"/>
            <w:noWrap/>
            <w:vAlign w:val="center"/>
            <w:hideMark/>
          </w:tcPr>
          <w:p w14:paraId="3E7CFC6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r>
      <w:tr w:rsidR="00183710" w:rsidRPr="00815C88" w14:paraId="65A436EE"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28FCEA"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Pr="00815C88">
              <w:rPr>
                <w:rFonts w:ascii="Calibri" w:eastAsia="Times New Roman" w:hAnsi="Calibri" w:cs="Calibri"/>
                <w:color w:val="000000"/>
                <w:lang w:eastAsia="en-GB"/>
              </w:rPr>
              <w:t>.</w:t>
            </w:r>
            <w:r>
              <w:rPr>
                <w:rFonts w:ascii="Calibri" w:eastAsia="Times New Roman" w:hAnsi="Calibri" w:cs="Calibri"/>
                <w:color w:val="000000"/>
                <w:lang w:eastAsia="en-GB"/>
              </w:rPr>
              <w:t>3</w:t>
            </w:r>
            <w:r w:rsidRPr="00815C88">
              <w:rPr>
                <w:rFonts w:ascii="Calibri" w:eastAsia="Times New Roman" w:hAnsi="Calibri" w:cs="Calibri"/>
                <w:color w:val="000000"/>
                <w:lang w:eastAsia="en-GB"/>
              </w:rPr>
              <w:t xml:space="preserve"> Did the authors </w:t>
            </w:r>
            <w:r>
              <w:rPr>
                <w:rFonts w:ascii="Calibri" w:eastAsia="Times New Roman" w:hAnsi="Calibri" w:cs="Calibri"/>
                <w:color w:val="000000"/>
                <w:lang w:eastAsia="en-GB"/>
              </w:rPr>
              <w:t xml:space="preserve">report </w:t>
            </w:r>
            <w:r w:rsidRPr="00815C88">
              <w:rPr>
                <w:rFonts w:ascii="Calibri" w:eastAsia="Times New Roman" w:hAnsi="Calibri" w:cs="Calibri"/>
                <w:color w:val="000000"/>
                <w:lang w:eastAsia="en-GB"/>
              </w:rPr>
              <w:t>take existing evidence into account when choosing the comparators?</w:t>
            </w:r>
          </w:p>
        </w:tc>
        <w:tc>
          <w:tcPr>
            <w:tcW w:w="3766" w:type="dxa"/>
            <w:tcBorders>
              <w:top w:val="nil"/>
              <w:left w:val="nil"/>
              <w:bottom w:val="single" w:sz="4" w:space="0" w:color="auto"/>
              <w:right w:val="single" w:sz="4" w:space="0" w:color="auto"/>
            </w:tcBorders>
            <w:shd w:val="clear" w:color="auto" w:fill="auto"/>
            <w:noWrap/>
            <w:vAlign w:val="center"/>
            <w:hideMark/>
          </w:tcPr>
          <w:p w14:paraId="5A7B72C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2.4 Has an appropriate comparator been chosen?</w:t>
            </w:r>
          </w:p>
        </w:tc>
        <w:tc>
          <w:tcPr>
            <w:tcW w:w="1179" w:type="dxa"/>
            <w:tcBorders>
              <w:top w:val="nil"/>
              <w:left w:val="nil"/>
              <w:bottom w:val="single" w:sz="4" w:space="0" w:color="auto"/>
              <w:right w:val="single" w:sz="4" w:space="0" w:color="auto"/>
            </w:tcBorders>
            <w:shd w:val="clear" w:color="auto" w:fill="auto"/>
            <w:noWrap/>
            <w:vAlign w:val="center"/>
            <w:hideMark/>
          </w:tcPr>
          <w:p w14:paraId="4CEFFB7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73.7%</w:t>
            </w:r>
          </w:p>
        </w:tc>
        <w:tc>
          <w:tcPr>
            <w:tcW w:w="1179" w:type="dxa"/>
            <w:tcBorders>
              <w:top w:val="nil"/>
              <w:left w:val="nil"/>
              <w:bottom w:val="single" w:sz="4" w:space="0" w:color="auto"/>
              <w:right w:val="single" w:sz="4" w:space="0" w:color="auto"/>
            </w:tcBorders>
            <w:shd w:val="clear" w:color="auto" w:fill="auto"/>
            <w:noWrap/>
            <w:vAlign w:val="center"/>
            <w:hideMark/>
          </w:tcPr>
          <w:p w14:paraId="2D8FBC29"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93.8%</w:t>
            </w:r>
          </w:p>
        </w:tc>
        <w:tc>
          <w:tcPr>
            <w:tcW w:w="1179" w:type="dxa"/>
            <w:tcBorders>
              <w:top w:val="nil"/>
              <w:left w:val="nil"/>
              <w:bottom w:val="single" w:sz="4" w:space="0" w:color="auto"/>
              <w:right w:val="single" w:sz="4" w:space="0" w:color="auto"/>
            </w:tcBorders>
            <w:shd w:val="clear" w:color="auto" w:fill="auto"/>
            <w:noWrap/>
            <w:vAlign w:val="center"/>
            <w:hideMark/>
          </w:tcPr>
          <w:p w14:paraId="7E322AE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87.5%</w:t>
            </w:r>
          </w:p>
        </w:tc>
      </w:tr>
      <w:tr w:rsidR="00183710" w:rsidRPr="00815C88" w14:paraId="5E80817D"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C3B06" w14:textId="55F79FE5"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5.1 Did the authors describe the experimental protocols/methods sufficiently to allow their </w:t>
            </w:r>
            <w:r w:rsidR="00E237D1">
              <w:rPr>
                <w:rFonts w:ascii="Calibri" w:eastAsia="Times New Roman" w:hAnsi="Calibri" w:cs="Calibri"/>
                <w:color w:val="000000"/>
                <w:lang w:eastAsia="en-GB"/>
              </w:rPr>
              <w:t>replication</w:t>
            </w:r>
            <w:r w:rsidRPr="00815C88">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06D14AF9"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5.1 Are the experimental procedures described sufficiently to allow reproduction of the results?</w:t>
            </w:r>
          </w:p>
        </w:tc>
        <w:tc>
          <w:tcPr>
            <w:tcW w:w="1179" w:type="dxa"/>
            <w:tcBorders>
              <w:top w:val="nil"/>
              <w:left w:val="nil"/>
              <w:bottom w:val="single" w:sz="4" w:space="0" w:color="auto"/>
              <w:right w:val="single" w:sz="4" w:space="0" w:color="auto"/>
            </w:tcBorders>
            <w:shd w:val="clear" w:color="auto" w:fill="auto"/>
            <w:noWrap/>
            <w:vAlign w:val="center"/>
            <w:hideMark/>
          </w:tcPr>
          <w:p w14:paraId="2635D44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94.7%</w:t>
            </w:r>
          </w:p>
        </w:tc>
        <w:tc>
          <w:tcPr>
            <w:tcW w:w="1179" w:type="dxa"/>
            <w:tcBorders>
              <w:top w:val="nil"/>
              <w:left w:val="nil"/>
              <w:bottom w:val="single" w:sz="4" w:space="0" w:color="auto"/>
              <w:right w:val="single" w:sz="4" w:space="0" w:color="auto"/>
            </w:tcBorders>
            <w:shd w:val="clear" w:color="auto" w:fill="auto"/>
            <w:noWrap/>
            <w:vAlign w:val="center"/>
            <w:hideMark/>
          </w:tcPr>
          <w:p w14:paraId="7A1C720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304EEA5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7BA628A7"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4849C" w14:textId="17BDFB72"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5.2 Did an independent group of researchers </w:t>
            </w:r>
            <w:r w:rsidR="0024071D">
              <w:rPr>
                <w:rFonts w:ascii="Calibri" w:eastAsia="Times New Roman" w:hAnsi="Calibri" w:cs="Calibri"/>
                <w:color w:val="000000"/>
                <w:lang w:eastAsia="en-GB"/>
              </w:rPr>
              <w:t>replicate</w:t>
            </w:r>
            <w:r w:rsidRPr="00815C88">
              <w:rPr>
                <w:rFonts w:ascii="Calibri" w:eastAsia="Times New Roman" w:hAnsi="Calibri" w:cs="Calibri"/>
                <w:color w:val="000000"/>
                <w:lang w:eastAsia="en-GB"/>
              </w:rPr>
              <w:t xml:space="preserve"> the </w:t>
            </w:r>
            <w:proofErr w:type="spellStart"/>
            <w:r w:rsidRPr="00815C88">
              <w:rPr>
                <w:rFonts w:ascii="Calibri" w:eastAsia="Times New Roman" w:hAnsi="Calibri" w:cs="Calibri"/>
                <w:color w:val="000000"/>
                <w:lang w:eastAsia="en-GB"/>
              </w:rPr>
              <w:t>experimental</w:t>
            </w:r>
            <w:r w:rsidRPr="00147583">
              <w:rPr>
                <w:rFonts w:ascii="Calibri" w:eastAsia="Times New Roman" w:hAnsi="Calibri" w:cs="Calibri"/>
                <w:color w:val="000000"/>
                <w:vertAlign w:val="superscript"/>
                <w:lang w:eastAsia="en-GB"/>
              </w:rPr>
              <w:t>d</w:t>
            </w:r>
            <w:proofErr w:type="spellEnd"/>
            <w:r w:rsidRPr="00815C88">
              <w:rPr>
                <w:rFonts w:ascii="Calibri" w:eastAsia="Times New Roman" w:hAnsi="Calibri" w:cs="Calibri"/>
                <w:color w:val="000000"/>
                <w:lang w:eastAsia="en-GB"/>
              </w:rPr>
              <w:t xml:space="preserve"> protocols/methods?</w:t>
            </w:r>
          </w:p>
        </w:tc>
        <w:tc>
          <w:tcPr>
            <w:tcW w:w="3766" w:type="dxa"/>
            <w:tcBorders>
              <w:top w:val="nil"/>
              <w:left w:val="nil"/>
              <w:bottom w:val="single" w:sz="4" w:space="0" w:color="auto"/>
              <w:right w:val="single" w:sz="4" w:space="0" w:color="auto"/>
            </w:tcBorders>
            <w:shd w:val="clear" w:color="auto" w:fill="auto"/>
            <w:noWrap/>
            <w:vAlign w:val="center"/>
            <w:hideMark/>
          </w:tcPr>
          <w:p w14:paraId="7990133C"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273ED85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30FE4F9B"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c>
          <w:tcPr>
            <w:tcW w:w="1179" w:type="dxa"/>
            <w:tcBorders>
              <w:top w:val="nil"/>
              <w:left w:val="nil"/>
              <w:bottom w:val="single" w:sz="4" w:space="0" w:color="auto"/>
              <w:right w:val="single" w:sz="4" w:space="0" w:color="auto"/>
            </w:tcBorders>
            <w:shd w:val="clear" w:color="auto" w:fill="auto"/>
            <w:noWrap/>
            <w:vAlign w:val="center"/>
            <w:hideMark/>
          </w:tcPr>
          <w:p w14:paraId="2740CA8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77BB31AB"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7294C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5.3 Did the authors or an independent group of researchers reproduce the results in similar and different laboratory conditions?</w:t>
            </w:r>
          </w:p>
        </w:tc>
        <w:tc>
          <w:tcPr>
            <w:tcW w:w="3766" w:type="dxa"/>
            <w:tcBorders>
              <w:top w:val="nil"/>
              <w:left w:val="nil"/>
              <w:bottom w:val="single" w:sz="4" w:space="0" w:color="auto"/>
              <w:right w:val="single" w:sz="4" w:space="0" w:color="auto"/>
            </w:tcBorders>
            <w:shd w:val="clear" w:color="auto" w:fill="auto"/>
            <w:noWrap/>
            <w:vAlign w:val="center"/>
            <w:hideMark/>
          </w:tcPr>
          <w:p w14:paraId="36C2E89E"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5.2 Were the results reproduced under the same laboratory </w:t>
            </w:r>
            <w:proofErr w:type="spellStart"/>
            <w:r w:rsidRPr="00815C88">
              <w:rPr>
                <w:rFonts w:ascii="Calibri" w:eastAsia="Times New Roman" w:hAnsi="Calibri" w:cs="Calibri"/>
                <w:color w:val="000000"/>
                <w:lang w:eastAsia="en-GB"/>
              </w:rPr>
              <w:t>conditions?</w:t>
            </w:r>
            <w:r>
              <w:rPr>
                <w:rFonts w:ascii="Calibri" w:eastAsia="Times New Roman" w:hAnsi="Calibri" w:cs="Calibri"/>
                <w:color w:val="000000"/>
                <w:vertAlign w:val="superscript"/>
                <w:lang w:eastAsia="en-GB"/>
              </w:rPr>
              <w:t>h</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6E62CA1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90.0%</w:t>
            </w:r>
          </w:p>
        </w:tc>
        <w:tc>
          <w:tcPr>
            <w:tcW w:w="1179" w:type="dxa"/>
            <w:tcBorders>
              <w:top w:val="nil"/>
              <w:left w:val="nil"/>
              <w:bottom w:val="single" w:sz="4" w:space="0" w:color="auto"/>
              <w:right w:val="single" w:sz="4" w:space="0" w:color="auto"/>
            </w:tcBorders>
            <w:shd w:val="clear" w:color="auto" w:fill="auto"/>
            <w:noWrap/>
            <w:vAlign w:val="center"/>
            <w:hideMark/>
          </w:tcPr>
          <w:p w14:paraId="5EEED1C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94.1%</w:t>
            </w:r>
          </w:p>
        </w:tc>
        <w:tc>
          <w:tcPr>
            <w:tcW w:w="1179" w:type="dxa"/>
            <w:tcBorders>
              <w:top w:val="nil"/>
              <w:left w:val="nil"/>
              <w:bottom w:val="single" w:sz="4" w:space="0" w:color="auto"/>
              <w:right w:val="single" w:sz="4" w:space="0" w:color="auto"/>
            </w:tcBorders>
            <w:shd w:val="clear" w:color="auto" w:fill="auto"/>
            <w:noWrap/>
            <w:vAlign w:val="center"/>
            <w:hideMark/>
          </w:tcPr>
          <w:p w14:paraId="0AF1C26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100.0%</w:t>
            </w:r>
          </w:p>
        </w:tc>
      </w:tr>
      <w:tr w:rsidR="00183710" w:rsidRPr="00815C88" w14:paraId="2DC7F8BC"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6D67E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7738E43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5.3 Were the results reproduced under different laboratory </w:t>
            </w:r>
            <w:proofErr w:type="spellStart"/>
            <w:r w:rsidRPr="00815C88">
              <w:rPr>
                <w:rFonts w:ascii="Calibri" w:eastAsia="Times New Roman" w:hAnsi="Calibri" w:cs="Calibri"/>
                <w:color w:val="000000"/>
                <w:lang w:eastAsia="en-GB"/>
              </w:rPr>
              <w:t>conditions?</w:t>
            </w:r>
            <w:r>
              <w:rPr>
                <w:rFonts w:ascii="Calibri" w:eastAsia="Times New Roman" w:hAnsi="Calibri" w:cs="Calibri"/>
                <w:color w:val="000000"/>
                <w:vertAlign w:val="superscript"/>
                <w:lang w:eastAsia="en-GB"/>
              </w:rPr>
              <w:t>h</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5C97C1C9"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75.0%</w:t>
            </w:r>
          </w:p>
        </w:tc>
        <w:tc>
          <w:tcPr>
            <w:tcW w:w="1179" w:type="dxa"/>
            <w:tcBorders>
              <w:top w:val="nil"/>
              <w:left w:val="nil"/>
              <w:bottom w:val="single" w:sz="4" w:space="0" w:color="auto"/>
              <w:right w:val="single" w:sz="4" w:space="0" w:color="auto"/>
            </w:tcBorders>
            <w:shd w:val="clear" w:color="auto" w:fill="auto"/>
            <w:noWrap/>
            <w:vAlign w:val="center"/>
            <w:hideMark/>
          </w:tcPr>
          <w:p w14:paraId="44F211AA"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c>
          <w:tcPr>
            <w:tcW w:w="1179" w:type="dxa"/>
            <w:tcBorders>
              <w:top w:val="nil"/>
              <w:left w:val="nil"/>
              <w:bottom w:val="single" w:sz="4" w:space="0" w:color="auto"/>
              <w:right w:val="single" w:sz="4" w:space="0" w:color="auto"/>
            </w:tcBorders>
            <w:shd w:val="clear" w:color="auto" w:fill="auto"/>
            <w:noWrap/>
            <w:vAlign w:val="center"/>
            <w:hideMark/>
          </w:tcPr>
          <w:p w14:paraId="159C71D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79322F4E"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9DFD8A"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3766" w:type="dxa"/>
            <w:tcBorders>
              <w:top w:val="nil"/>
              <w:left w:val="nil"/>
              <w:bottom w:val="single" w:sz="4" w:space="0" w:color="auto"/>
              <w:right w:val="single" w:sz="4" w:space="0" w:color="auto"/>
            </w:tcBorders>
            <w:shd w:val="clear" w:color="auto" w:fill="auto"/>
            <w:noWrap/>
            <w:vAlign w:val="center"/>
            <w:hideMark/>
          </w:tcPr>
          <w:p w14:paraId="27148EA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5.5 Were the results reproduced by a different group of researchers or was this a study that showed reproducibility of results of experiments by a different group of </w:t>
            </w:r>
            <w:proofErr w:type="spellStart"/>
            <w:r w:rsidRPr="00815C88">
              <w:rPr>
                <w:rFonts w:ascii="Calibri" w:eastAsia="Times New Roman" w:hAnsi="Calibri" w:cs="Calibri"/>
                <w:color w:val="000000"/>
                <w:lang w:eastAsia="en-GB"/>
              </w:rPr>
              <w:t>researchers?</w:t>
            </w:r>
            <w:r>
              <w:rPr>
                <w:rFonts w:ascii="Calibri" w:eastAsia="Times New Roman" w:hAnsi="Calibri" w:cs="Calibri"/>
                <w:color w:val="000000"/>
                <w:vertAlign w:val="superscript"/>
                <w:lang w:eastAsia="en-GB"/>
              </w:rPr>
              <w:t>h</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5AB11EF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80.0%</w:t>
            </w:r>
          </w:p>
        </w:tc>
        <w:tc>
          <w:tcPr>
            <w:tcW w:w="1179" w:type="dxa"/>
            <w:tcBorders>
              <w:top w:val="nil"/>
              <w:left w:val="nil"/>
              <w:bottom w:val="single" w:sz="4" w:space="0" w:color="auto"/>
              <w:right w:val="single" w:sz="4" w:space="0" w:color="auto"/>
            </w:tcBorders>
            <w:shd w:val="clear" w:color="auto" w:fill="auto"/>
            <w:noWrap/>
            <w:vAlign w:val="center"/>
            <w:hideMark/>
          </w:tcPr>
          <w:p w14:paraId="57FEC1F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c>
          <w:tcPr>
            <w:tcW w:w="1179" w:type="dxa"/>
            <w:tcBorders>
              <w:top w:val="nil"/>
              <w:left w:val="nil"/>
              <w:bottom w:val="single" w:sz="4" w:space="0" w:color="auto"/>
              <w:right w:val="single" w:sz="4" w:space="0" w:color="auto"/>
            </w:tcBorders>
            <w:shd w:val="clear" w:color="auto" w:fill="auto"/>
            <w:noWrap/>
            <w:vAlign w:val="center"/>
            <w:hideMark/>
          </w:tcPr>
          <w:p w14:paraId="636372A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82.4%</w:t>
            </w:r>
          </w:p>
        </w:tc>
      </w:tr>
      <w:tr w:rsidR="00183710" w:rsidRPr="00815C88" w14:paraId="2C044E3E"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DBDD9"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6.1 Did the authors’ conclusions represent the study findings, taking its limitations into account?</w:t>
            </w:r>
          </w:p>
        </w:tc>
        <w:tc>
          <w:tcPr>
            <w:tcW w:w="3766" w:type="dxa"/>
            <w:tcBorders>
              <w:top w:val="nil"/>
              <w:left w:val="nil"/>
              <w:bottom w:val="single" w:sz="4" w:space="0" w:color="auto"/>
              <w:right w:val="single" w:sz="4" w:space="0" w:color="auto"/>
            </w:tcBorders>
            <w:shd w:val="clear" w:color="auto" w:fill="auto"/>
            <w:noWrap/>
            <w:vAlign w:val="center"/>
            <w:hideMark/>
          </w:tcPr>
          <w:p w14:paraId="6278E0B5"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7.7 Were appropriate conclusions reached?</w:t>
            </w:r>
          </w:p>
        </w:tc>
        <w:tc>
          <w:tcPr>
            <w:tcW w:w="1179" w:type="dxa"/>
            <w:tcBorders>
              <w:top w:val="nil"/>
              <w:left w:val="nil"/>
              <w:bottom w:val="single" w:sz="4" w:space="0" w:color="auto"/>
              <w:right w:val="single" w:sz="4" w:space="0" w:color="auto"/>
            </w:tcBorders>
            <w:shd w:val="clear" w:color="auto" w:fill="auto"/>
            <w:noWrap/>
            <w:vAlign w:val="center"/>
            <w:hideMark/>
          </w:tcPr>
          <w:p w14:paraId="5251666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80.0%</w:t>
            </w:r>
          </w:p>
        </w:tc>
        <w:tc>
          <w:tcPr>
            <w:tcW w:w="1179" w:type="dxa"/>
            <w:tcBorders>
              <w:top w:val="nil"/>
              <w:left w:val="nil"/>
              <w:bottom w:val="single" w:sz="4" w:space="0" w:color="auto"/>
              <w:right w:val="single" w:sz="4" w:space="0" w:color="auto"/>
            </w:tcBorders>
            <w:shd w:val="clear" w:color="auto" w:fill="auto"/>
            <w:noWrap/>
            <w:vAlign w:val="center"/>
            <w:hideMark/>
          </w:tcPr>
          <w:p w14:paraId="17D277C7"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c>
          <w:tcPr>
            <w:tcW w:w="1179" w:type="dxa"/>
            <w:tcBorders>
              <w:top w:val="nil"/>
              <w:left w:val="nil"/>
              <w:bottom w:val="single" w:sz="4" w:space="0" w:color="auto"/>
              <w:right w:val="single" w:sz="4" w:space="0" w:color="auto"/>
            </w:tcBorders>
            <w:shd w:val="clear" w:color="auto" w:fill="auto"/>
            <w:noWrap/>
            <w:vAlign w:val="center"/>
            <w:hideMark/>
          </w:tcPr>
          <w:p w14:paraId="0049D886"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7D047009"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3A77E4"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6.2 Did the authors provide details on additional research required to conduct first-in-human </w:t>
            </w:r>
            <w:proofErr w:type="spellStart"/>
            <w:r w:rsidRPr="00815C88">
              <w:rPr>
                <w:rFonts w:ascii="Calibri" w:eastAsia="Times New Roman" w:hAnsi="Calibri" w:cs="Calibri"/>
                <w:color w:val="000000"/>
                <w:lang w:eastAsia="en-GB"/>
              </w:rPr>
              <w:t>studies?</w:t>
            </w:r>
            <w:r w:rsidRPr="00147583">
              <w:rPr>
                <w:rFonts w:ascii="Calibri" w:eastAsia="Times New Roman" w:hAnsi="Calibri" w:cs="Calibri"/>
                <w:color w:val="000000"/>
                <w:vertAlign w:val="superscript"/>
                <w:lang w:eastAsia="en-GB"/>
              </w:rPr>
              <w:t>d</w:t>
            </w:r>
            <w:proofErr w:type="spellEnd"/>
          </w:p>
        </w:tc>
        <w:tc>
          <w:tcPr>
            <w:tcW w:w="3766" w:type="dxa"/>
            <w:tcBorders>
              <w:top w:val="nil"/>
              <w:left w:val="nil"/>
              <w:bottom w:val="single" w:sz="4" w:space="0" w:color="auto"/>
              <w:right w:val="single" w:sz="4" w:space="0" w:color="auto"/>
            </w:tcBorders>
            <w:shd w:val="clear" w:color="auto" w:fill="auto"/>
            <w:noWrap/>
            <w:vAlign w:val="center"/>
            <w:hideMark/>
          </w:tcPr>
          <w:p w14:paraId="2A16461D"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338C89AC"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318A5BBC"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83.3%</w:t>
            </w:r>
          </w:p>
        </w:tc>
        <w:tc>
          <w:tcPr>
            <w:tcW w:w="1179" w:type="dxa"/>
            <w:tcBorders>
              <w:top w:val="nil"/>
              <w:left w:val="nil"/>
              <w:bottom w:val="single" w:sz="4" w:space="0" w:color="auto"/>
              <w:right w:val="single" w:sz="4" w:space="0" w:color="auto"/>
            </w:tcBorders>
            <w:shd w:val="clear" w:color="auto" w:fill="auto"/>
            <w:noWrap/>
            <w:vAlign w:val="center"/>
            <w:hideMark/>
          </w:tcPr>
          <w:p w14:paraId="23EE036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76.9%</w:t>
            </w:r>
          </w:p>
        </w:tc>
      </w:tr>
      <w:tr w:rsidR="00183710" w:rsidRPr="00815C88" w14:paraId="73FA9F80"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4AF445" w14:textId="0DE46396"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lastRenderedPageBreak/>
              <w:t xml:space="preserve">7.1 Did the research team obtain ethical approvals and any other regulatory approvals required to perform the research prior to the start of the </w:t>
            </w:r>
            <w:proofErr w:type="spellStart"/>
            <w:r w:rsidRPr="00815C88">
              <w:rPr>
                <w:rFonts w:ascii="Calibri" w:eastAsia="Times New Roman" w:hAnsi="Calibri" w:cs="Calibri"/>
                <w:color w:val="000000"/>
                <w:lang w:eastAsia="en-GB"/>
              </w:rPr>
              <w:t>study?</w:t>
            </w:r>
            <w:r w:rsidRPr="00147583">
              <w:rPr>
                <w:rFonts w:ascii="Calibri" w:eastAsia="Times New Roman" w:hAnsi="Calibri" w:cs="Calibri"/>
                <w:color w:val="000000"/>
                <w:vertAlign w:val="superscript"/>
                <w:lang w:eastAsia="en-GB"/>
              </w:rPr>
              <w:t>d</w:t>
            </w:r>
            <w:proofErr w:type="spellEnd"/>
          </w:p>
        </w:tc>
        <w:tc>
          <w:tcPr>
            <w:tcW w:w="3766" w:type="dxa"/>
            <w:tcBorders>
              <w:top w:val="nil"/>
              <w:left w:val="nil"/>
              <w:bottom w:val="single" w:sz="4" w:space="0" w:color="auto"/>
              <w:right w:val="single" w:sz="4" w:space="0" w:color="auto"/>
            </w:tcBorders>
            <w:shd w:val="clear" w:color="auto" w:fill="auto"/>
            <w:noWrap/>
            <w:vAlign w:val="center"/>
            <w:hideMark/>
          </w:tcPr>
          <w:p w14:paraId="0C89BD3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1B2D42D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3269499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84.6%</w:t>
            </w:r>
          </w:p>
        </w:tc>
        <w:tc>
          <w:tcPr>
            <w:tcW w:w="1179" w:type="dxa"/>
            <w:tcBorders>
              <w:top w:val="nil"/>
              <w:left w:val="nil"/>
              <w:bottom w:val="single" w:sz="4" w:space="0" w:color="auto"/>
              <w:right w:val="single" w:sz="4" w:space="0" w:color="auto"/>
            </w:tcBorders>
            <w:shd w:val="clear" w:color="auto" w:fill="auto"/>
            <w:noWrap/>
            <w:vAlign w:val="center"/>
            <w:hideMark/>
          </w:tcPr>
          <w:p w14:paraId="0C38A41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84.6%</w:t>
            </w:r>
          </w:p>
        </w:tc>
      </w:tr>
      <w:tr w:rsidR="00183710" w:rsidRPr="00815C88" w14:paraId="337660E3"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5D959"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7.2 Did the authors take steps to prevent unintentional changes to data?</w:t>
            </w:r>
          </w:p>
        </w:tc>
        <w:tc>
          <w:tcPr>
            <w:tcW w:w="3766" w:type="dxa"/>
            <w:tcBorders>
              <w:top w:val="nil"/>
              <w:left w:val="nil"/>
              <w:bottom w:val="single" w:sz="4" w:space="0" w:color="auto"/>
              <w:right w:val="single" w:sz="4" w:space="0" w:color="auto"/>
            </w:tcBorders>
            <w:shd w:val="clear" w:color="auto" w:fill="auto"/>
            <w:noWrap/>
            <w:vAlign w:val="center"/>
            <w:hideMark/>
          </w:tcPr>
          <w:p w14:paraId="7130223E"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6.3 Were appropriate steps taken to prevent inadvertent errors in data collection?</w:t>
            </w:r>
          </w:p>
        </w:tc>
        <w:tc>
          <w:tcPr>
            <w:tcW w:w="1179" w:type="dxa"/>
            <w:tcBorders>
              <w:top w:val="nil"/>
              <w:left w:val="nil"/>
              <w:bottom w:val="single" w:sz="4" w:space="0" w:color="auto"/>
              <w:right w:val="single" w:sz="4" w:space="0" w:color="auto"/>
            </w:tcBorders>
            <w:shd w:val="clear" w:color="auto" w:fill="auto"/>
            <w:noWrap/>
            <w:vAlign w:val="center"/>
            <w:hideMark/>
          </w:tcPr>
          <w:p w14:paraId="5E9E888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60.0%</w:t>
            </w:r>
          </w:p>
        </w:tc>
        <w:tc>
          <w:tcPr>
            <w:tcW w:w="1179" w:type="dxa"/>
            <w:tcBorders>
              <w:top w:val="nil"/>
              <w:left w:val="nil"/>
              <w:bottom w:val="single" w:sz="4" w:space="0" w:color="auto"/>
              <w:right w:val="single" w:sz="4" w:space="0" w:color="auto"/>
            </w:tcBorders>
            <w:shd w:val="clear" w:color="auto" w:fill="auto"/>
            <w:noWrap/>
            <w:vAlign w:val="center"/>
            <w:hideMark/>
          </w:tcPr>
          <w:p w14:paraId="02E975F3"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76.5%</w:t>
            </w:r>
          </w:p>
        </w:tc>
        <w:tc>
          <w:tcPr>
            <w:tcW w:w="1179" w:type="dxa"/>
            <w:tcBorders>
              <w:top w:val="nil"/>
              <w:left w:val="nil"/>
              <w:bottom w:val="single" w:sz="4" w:space="0" w:color="auto"/>
              <w:right w:val="single" w:sz="4" w:space="0" w:color="auto"/>
            </w:tcBorders>
            <w:shd w:val="clear" w:color="auto" w:fill="auto"/>
            <w:noWrap/>
            <w:vAlign w:val="center"/>
            <w:hideMark/>
          </w:tcPr>
          <w:p w14:paraId="515E8DE5"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70.6%</w:t>
            </w:r>
          </w:p>
        </w:tc>
      </w:tr>
      <w:tr w:rsidR="00183710" w:rsidRPr="00815C88" w14:paraId="5D0C02D1"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6FB503"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8.1 Did the authors describe the experimental procedures sufficiently in a protocol that was registered prior to the start of the research?</w:t>
            </w:r>
            <w:r w:rsidRPr="00815C88">
              <w:rPr>
                <w:rFonts w:ascii="Calibri" w:eastAsia="Times New Roman" w:hAnsi="Calibri" w:cs="Calibri"/>
                <w:color w:val="000000"/>
                <w:lang w:eastAsia="en-GB"/>
              </w:rPr>
              <w:br/>
            </w:r>
            <w:r>
              <w:rPr>
                <w:rFonts w:ascii="Calibri" w:eastAsia="Times New Roman" w:hAnsi="Calibri" w:cs="Calibri"/>
                <w:color w:val="000000"/>
                <w:lang w:eastAsia="en-GB"/>
              </w:rPr>
              <w:t xml:space="preserve">8.2 </w:t>
            </w:r>
            <w:r w:rsidRPr="00815C88">
              <w:rPr>
                <w:rFonts w:ascii="Calibri" w:eastAsia="Times New Roman" w:hAnsi="Calibri" w:cs="Calibri"/>
                <w:color w:val="000000"/>
                <w:lang w:eastAsia="en-GB"/>
              </w:rPr>
              <w:t>Did the authors describe any deviations from the registered protocol?</w:t>
            </w:r>
          </w:p>
        </w:tc>
        <w:tc>
          <w:tcPr>
            <w:tcW w:w="3766" w:type="dxa"/>
            <w:tcBorders>
              <w:top w:val="nil"/>
              <w:left w:val="nil"/>
              <w:bottom w:val="single" w:sz="4" w:space="0" w:color="auto"/>
              <w:right w:val="single" w:sz="4" w:space="0" w:color="auto"/>
            </w:tcBorders>
            <w:shd w:val="clear" w:color="auto" w:fill="auto"/>
            <w:noWrap/>
            <w:vAlign w:val="center"/>
            <w:hideMark/>
          </w:tcPr>
          <w:p w14:paraId="5B80180B"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 xml:space="preserve">6.1 Were the experimental procedures described sufficiently in a registered protocol and any deviations from the protocol described </w:t>
            </w:r>
            <w:proofErr w:type="spellStart"/>
            <w:r w:rsidRPr="00815C88">
              <w:rPr>
                <w:rFonts w:ascii="Calibri" w:eastAsia="Times New Roman" w:hAnsi="Calibri" w:cs="Calibri"/>
                <w:color w:val="000000"/>
                <w:lang w:eastAsia="en-GB"/>
              </w:rPr>
              <w:t>appropriately?</w:t>
            </w:r>
            <w:r>
              <w:rPr>
                <w:rFonts w:ascii="Calibri" w:eastAsia="Times New Roman" w:hAnsi="Calibri" w:cs="Calibri"/>
                <w:color w:val="000000"/>
                <w:vertAlign w:val="superscript"/>
                <w:lang w:eastAsia="en-GB"/>
              </w:rPr>
              <w:t>i</w:t>
            </w:r>
            <w:proofErr w:type="spellEnd"/>
          </w:p>
        </w:tc>
        <w:tc>
          <w:tcPr>
            <w:tcW w:w="1179" w:type="dxa"/>
            <w:tcBorders>
              <w:top w:val="nil"/>
              <w:left w:val="nil"/>
              <w:bottom w:val="single" w:sz="4" w:space="0" w:color="auto"/>
              <w:right w:val="single" w:sz="4" w:space="0" w:color="auto"/>
            </w:tcBorders>
            <w:shd w:val="clear" w:color="auto" w:fill="auto"/>
            <w:noWrap/>
            <w:vAlign w:val="center"/>
            <w:hideMark/>
          </w:tcPr>
          <w:p w14:paraId="5C2743AC"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85.0%</w:t>
            </w:r>
          </w:p>
        </w:tc>
        <w:tc>
          <w:tcPr>
            <w:tcW w:w="1179" w:type="dxa"/>
            <w:tcBorders>
              <w:top w:val="nil"/>
              <w:left w:val="nil"/>
              <w:bottom w:val="single" w:sz="4" w:space="0" w:color="auto"/>
              <w:right w:val="single" w:sz="4" w:space="0" w:color="auto"/>
            </w:tcBorders>
            <w:shd w:val="clear" w:color="auto" w:fill="auto"/>
            <w:noWrap/>
            <w:vAlign w:val="center"/>
            <w:hideMark/>
          </w:tcPr>
          <w:p w14:paraId="695C09FA"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94.1%</w:t>
            </w:r>
          </w:p>
        </w:tc>
        <w:tc>
          <w:tcPr>
            <w:tcW w:w="1179" w:type="dxa"/>
            <w:tcBorders>
              <w:top w:val="nil"/>
              <w:left w:val="nil"/>
              <w:bottom w:val="single" w:sz="4" w:space="0" w:color="auto"/>
              <w:right w:val="single" w:sz="4" w:space="0" w:color="auto"/>
            </w:tcBorders>
            <w:shd w:val="clear" w:color="auto" w:fill="auto"/>
            <w:noWrap/>
            <w:vAlign w:val="center"/>
            <w:hideMark/>
          </w:tcPr>
          <w:p w14:paraId="0AF7BCA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94.1%</w:t>
            </w:r>
          </w:p>
        </w:tc>
      </w:tr>
      <w:tr w:rsidR="00183710" w:rsidRPr="00815C88" w14:paraId="730C452C"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4EAB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8.3 Did the authors provide the individual subject data along with explanation for any numerical codes/substitutions or abbreviations used in the data to allow other groups of researchers to analyse?</w:t>
            </w:r>
          </w:p>
        </w:tc>
        <w:tc>
          <w:tcPr>
            <w:tcW w:w="3766" w:type="dxa"/>
            <w:tcBorders>
              <w:top w:val="nil"/>
              <w:left w:val="nil"/>
              <w:bottom w:val="single" w:sz="4" w:space="0" w:color="auto"/>
              <w:right w:val="single" w:sz="4" w:space="0" w:color="auto"/>
            </w:tcBorders>
            <w:shd w:val="clear" w:color="auto" w:fill="auto"/>
            <w:noWrap/>
            <w:vAlign w:val="center"/>
            <w:hideMark/>
          </w:tcPr>
          <w:p w14:paraId="733D1956"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5.4 Is the raw data available for other groups of researchers to analyse?</w:t>
            </w:r>
          </w:p>
        </w:tc>
        <w:tc>
          <w:tcPr>
            <w:tcW w:w="1179" w:type="dxa"/>
            <w:tcBorders>
              <w:top w:val="nil"/>
              <w:left w:val="nil"/>
              <w:bottom w:val="single" w:sz="4" w:space="0" w:color="auto"/>
              <w:right w:val="single" w:sz="4" w:space="0" w:color="auto"/>
            </w:tcBorders>
            <w:shd w:val="clear" w:color="auto" w:fill="auto"/>
            <w:noWrap/>
            <w:vAlign w:val="center"/>
            <w:hideMark/>
          </w:tcPr>
          <w:p w14:paraId="0A01F48D"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85.0%</w:t>
            </w:r>
          </w:p>
        </w:tc>
        <w:tc>
          <w:tcPr>
            <w:tcW w:w="1179" w:type="dxa"/>
            <w:tcBorders>
              <w:top w:val="nil"/>
              <w:left w:val="nil"/>
              <w:bottom w:val="single" w:sz="4" w:space="0" w:color="auto"/>
              <w:right w:val="single" w:sz="4" w:space="0" w:color="auto"/>
            </w:tcBorders>
            <w:shd w:val="clear" w:color="auto" w:fill="auto"/>
            <w:noWrap/>
            <w:vAlign w:val="center"/>
            <w:hideMark/>
          </w:tcPr>
          <w:p w14:paraId="080F85E4"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c>
          <w:tcPr>
            <w:tcW w:w="1179" w:type="dxa"/>
            <w:tcBorders>
              <w:top w:val="nil"/>
              <w:left w:val="nil"/>
              <w:bottom w:val="single" w:sz="4" w:space="0" w:color="auto"/>
              <w:right w:val="single" w:sz="4" w:space="0" w:color="auto"/>
            </w:tcBorders>
            <w:shd w:val="clear" w:color="auto" w:fill="auto"/>
            <w:noWrap/>
            <w:vAlign w:val="center"/>
            <w:hideMark/>
          </w:tcPr>
          <w:p w14:paraId="569025F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88.2%</w:t>
            </w:r>
          </w:p>
        </w:tc>
      </w:tr>
      <w:tr w:rsidR="00183710" w:rsidRPr="00815C88" w14:paraId="70B8915C" w14:textId="77777777" w:rsidTr="00C50E48">
        <w:trPr>
          <w:gridAfter w:val="1"/>
          <w:wAfter w:w="723" w:type="dxa"/>
          <w:trHeight w:val="288"/>
          <w:jc w:val="center"/>
        </w:trPr>
        <w:tc>
          <w:tcPr>
            <w:tcW w:w="42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692C9" w14:textId="77777777" w:rsidR="00183710" w:rsidRPr="00A12762" w:rsidRDefault="00183710" w:rsidP="00C50E48">
            <w:pPr>
              <w:spacing w:after="0" w:line="240" w:lineRule="auto"/>
              <w:rPr>
                <w:rFonts w:ascii="Calibri" w:eastAsia="Times New Roman" w:hAnsi="Calibri" w:cs="Calibri"/>
                <w:color w:val="000000"/>
                <w:vertAlign w:val="superscript"/>
                <w:lang w:eastAsia="en-GB"/>
              </w:rPr>
            </w:pPr>
            <w:r>
              <w:rPr>
                <w:rFonts w:ascii="Calibri" w:eastAsia="Times New Roman" w:hAnsi="Calibri" w:cs="Calibri"/>
                <w:color w:val="000000"/>
                <w:lang w:eastAsia="en-GB"/>
              </w:rPr>
              <w:t>-</w:t>
            </w:r>
            <w:r w:rsidRPr="00815C88">
              <w:rPr>
                <w:rFonts w:ascii="Calibri" w:eastAsia="Times New Roman" w:hAnsi="Calibri" w:cs="Calibri"/>
                <w:color w:val="000000"/>
                <w:lang w:eastAsia="en-GB"/>
              </w:rPr>
              <w:t xml:space="preserve"> If computer codes were used for analysis, did the authors make them available to allow </w:t>
            </w:r>
            <w:r>
              <w:rPr>
                <w:rFonts w:ascii="Calibri" w:eastAsia="Times New Roman" w:hAnsi="Calibri" w:cs="Calibri"/>
                <w:color w:val="000000"/>
                <w:lang w:eastAsia="en-GB"/>
              </w:rPr>
              <w:t>reanalysis</w:t>
            </w:r>
            <w:r w:rsidRPr="00815C88">
              <w:rPr>
                <w:rFonts w:ascii="Calibri" w:eastAsia="Times New Roman" w:hAnsi="Calibri" w:cs="Calibri"/>
                <w:color w:val="000000"/>
                <w:lang w:eastAsia="en-GB"/>
              </w:rPr>
              <w:t xml:space="preserve"> of the </w:t>
            </w:r>
            <w:proofErr w:type="spellStart"/>
            <w:r w:rsidRPr="00815C88">
              <w:rPr>
                <w:rFonts w:ascii="Calibri" w:eastAsia="Times New Roman" w:hAnsi="Calibri" w:cs="Calibri"/>
                <w:color w:val="000000"/>
                <w:lang w:eastAsia="en-GB"/>
              </w:rPr>
              <w:t>data?</w:t>
            </w:r>
            <w:r w:rsidRPr="00147583">
              <w:rPr>
                <w:rFonts w:ascii="Calibri" w:eastAsia="Times New Roman" w:hAnsi="Calibri" w:cs="Calibri"/>
                <w:color w:val="000000"/>
                <w:vertAlign w:val="superscript"/>
                <w:lang w:eastAsia="en-GB"/>
              </w:rPr>
              <w:t>d</w:t>
            </w:r>
            <w:r>
              <w:rPr>
                <w:rFonts w:ascii="Calibri" w:eastAsia="Times New Roman" w:hAnsi="Calibri" w:cs="Calibri"/>
                <w:color w:val="000000"/>
                <w:vertAlign w:val="superscript"/>
                <w:lang w:eastAsia="en-GB"/>
              </w:rPr>
              <w:t>,j</w:t>
            </w:r>
            <w:proofErr w:type="spellEnd"/>
          </w:p>
        </w:tc>
        <w:tc>
          <w:tcPr>
            <w:tcW w:w="3766" w:type="dxa"/>
            <w:tcBorders>
              <w:top w:val="nil"/>
              <w:left w:val="nil"/>
              <w:bottom w:val="single" w:sz="4" w:space="0" w:color="auto"/>
              <w:right w:val="single" w:sz="4" w:space="0" w:color="auto"/>
            </w:tcBorders>
            <w:shd w:val="clear" w:color="auto" w:fill="auto"/>
            <w:noWrap/>
            <w:vAlign w:val="center"/>
            <w:hideMark/>
          </w:tcPr>
          <w:p w14:paraId="34F9EEC7" w14:textId="77777777" w:rsidR="00183710" w:rsidRPr="00815C88" w:rsidRDefault="00183710" w:rsidP="00C50E48">
            <w:pPr>
              <w:spacing w:after="0" w:line="240" w:lineRule="auto"/>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734A2640"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w:t>
            </w:r>
          </w:p>
        </w:tc>
        <w:tc>
          <w:tcPr>
            <w:tcW w:w="1179" w:type="dxa"/>
            <w:tcBorders>
              <w:top w:val="nil"/>
              <w:left w:val="nil"/>
              <w:bottom w:val="single" w:sz="4" w:space="0" w:color="auto"/>
              <w:right w:val="single" w:sz="4" w:space="0" w:color="auto"/>
            </w:tcBorders>
            <w:shd w:val="clear" w:color="auto" w:fill="auto"/>
            <w:noWrap/>
            <w:vAlign w:val="center"/>
            <w:hideMark/>
          </w:tcPr>
          <w:p w14:paraId="7EAA5CE8"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66.7%</w:t>
            </w:r>
          </w:p>
        </w:tc>
        <w:tc>
          <w:tcPr>
            <w:tcW w:w="1179" w:type="dxa"/>
            <w:tcBorders>
              <w:top w:val="nil"/>
              <w:left w:val="nil"/>
              <w:bottom w:val="single" w:sz="4" w:space="0" w:color="auto"/>
              <w:right w:val="single" w:sz="4" w:space="0" w:color="auto"/>
            </w:tcBorders>
            <w:shd w:val="clear" w:color="auto" w:fill="auto"/>
            <w:noWrap/>
            <w:vAlign w:val="center"/>
            <w:hideMark/>
          </w:tcPr>
          <w:p w14:paraId="68BB33A1" w14:textId="77777777" w:rsidR="00183710" w:rsidRPr="00815C88" w:rsidRDefault="00183710" w:rsidP="00C50E48">
            <w:pPr>
              <w:spacing w:after="0" w:line="240" w:lineRule="auto"/>
              <w:jc w:val="center"/>
              <w:rPr>
                <w:rFonts w:ascii="Calibri" w:eastAsia="Times New Roman" w:hAnsi="Calibri" w:cs="Calibri"/>
                <w:color w:val="000000"/>
                <w:lang w:eastAsia="en-GB"/>
              </w:rPr>
            </w:pPr>
            <w:r w:rsidRPr="00815C88">
              <w:rPr>
                <w:rFonts w:ascii="Calibri" w:eastAsia="Times New Roman" w:hAnsi="Calibri" w:cs="Calibri"/>
                <w:color w:val="000000"/>
                <w:lang w:eastAsia="en-GB"/>
              </w:rPr>
              <w:t>71.4%</w:t>
            </w:r>
          </w:p>
        </w:tc>
      </w:tr>
      <w:tr w:rsidR="00183710" w:rsidRPr="00815C88" w14:paraId="4943EDFE" w14:textId="77777777" w:rsidTr="00C50E48">
        <w:trPr>
          <w:gridAfter w:val="1"/>
          <w:wAfter w:w="723" w:type="dxa"/>
          <w:trHeight w:val="288"/>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D6982" w14:textId="77777777" w:rsidR="00183710" w:rsidRDefault="00183710" w:rsidP="00C50E48">
            <w:pPr>
              <w:spacing w:after="0" w:line="240" w:lineRule="auto"/>
              <w:rPr>
                <w:rFonts w:ascii="Calibri" w:hAnsi="Calibri" w:cs="Calibri"/>
                <w:b/>
                <w:color w:val="000000"/>
              </w:rPr>
            </w:pPr>
          </w:p>
          <w:p w14:paraId="5EB5A06D" w14:textId="77777777" w:rsidR="00183710" w:rsidRPr="00815C88" w:rsidRDefault="00183710" w:rsidP="00C50E48">
            <w:pPr>
              <w:spacing w:after="0" w:line="240" w:lineRule="auto"/>
              <w:rPr>
                <w:rFonts w:ascii="Calibri" w:eastAsia="Times New Roman" w:hAnsi="Calibri" w:cs="Calibri"/>
                <w:color w:val="000000"/>
                <w:lang w:eastAsia="en-GB"/>
              </w:rPr>
            </w:pPr>
            <w:r w:rsidRPr="003D7A19">
              <w:rPr>
                <w:rFonts w:ascii="Calibri" w:hAnsi="Calibri" w:cs="Calibri"/>
                <w:b/>
                <w:color w:val="000000"/>
              </w:rPr>
              <w:t>Signalling questions for which consensus was not reached</w:t>
            </w:r>
          </w:p>
        </w:tc>
        <w:tc>
          <w:tcPr>
            <w:tcW w:w="3766" w:type="dxa"/>
            <w:tcBorders>
              <w:top w:val="single" w:sz="4" w:space="0" w:color="auto"/>
              <w:left w:val="nil"/>
              <w:bottom w:val="single" w:sz="4" w:space="0" w:color="auto"/>
              <w:right w:val="single" w:sz="4" w:space="0" w:color="auto"/>
            </w:tcBorders>
            <w:shd w:val="clear" w:color="auto" w:fill="auto"/>
            <w:noWrap/>
            <w:vAlign w:val="center"/>
          </w:tcPr>
          <w:p w14:paraId="78D86DB4" w14:textId="77777777" w:rsidR="00183710" w:rsidRPr="00815C88" w:rsidRDefault="00183710" w:rsidP="00C50E48">
            <w:pPr>
              <w:spacing w:after="0" w:line="240" w:lineRule="auto"/>
              <w:rPr>
                <w:rFonts w:ascii="Calibri" w:eastAsia="Times New Roman" w:hAnsi="Calibri" w:cs="Calibri"/>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1F5991D"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65FFB7C9"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E3A9A73" w14:textId="77777777" w:rsidR="00183710" w:rsidRPr="00815C88" w:rsidRDefault="00183710" w:rsidP="00C50E48">
            <w:pPr>
              <w:spacing w:after="0" w:line="240" w:lineRule="auto"/>
              <w:jc w:val="center"/>
              <w:rPr>
                <w:rFonts w:ascii="Calibri" w:eastAsia="Times New Roman" w:hAnsi="Calibri" w:cs="Calibri"/>
                <w:color w:val="000000"/>
                <w:lang w:eastAsia="en-GB"/>
              </w:rPr>
            </w:pPr>
          </w:p>
        </w:tc>
      </w:tr>
      <w:tr w:rsidR="00183710" w14:paraId="08AEB753" w14:textId="77777777" w:rsidTr="00C50E48">
        <w:tblPrEx>
          <w:jc w:val="left"/>
          <w:tblBorders>
            <w:top w:val="single" w:sz="4" w:space="0" w:color="auto"/>
          </w:tblBorders>
          <w:tblLook w:val="0000" w:firstRow="0" w:lastRow="0" w:firstColumn="0" w:lastColumn="0" w:noHBand="0" w:noVBand="0"/>
        </w:tblPrEx>
        <w:trPr>
          <w:gridBefore w:val="1"/>
          <w:wBefore w:w="760" w:type="dxa"/>
          <w:trHeight w:val="100"/>
        </w:trPr>
        <w:tc>
          <w:tcPr>
            <w:tcW w:w="11505" w:type="dxa"/>
            <w:gridSpan w:val="6"/>
          </w:tcPr>
          <w:p w14:paraId="4E0DF64D" w14:textId="77777777" w:rsidR="00183710" w:rsidRDefault="00183710" w:rsidP="00C50E48">
            <w:pPr>
              <w:spacing w:after="0" w:line="240" w:lineRule="auto"/>
              <w:rPr>
                <w:rFonts w:ascii="Calibri" w:hAnsi="Calibri" w:cs="Calibri"/>
                <w:color w:val="000000"/>
              </w:rPr>
            </w:pPr>
          </w:p>
        </w:tc>
      </w:tr>
      <w:tr w:rsidR="00183710" w:rsidRPr="00815C88" w14:paraId="2413DFF0" w14:textId="77777777" w:rsidTr="00C50E48">
        <w:trPr>
          <w:gridAfter w:val="1"/>
          <w:wAfter w:w="723" w:type="dxa"/>
          <w:trHeight w:val="288"/>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BBAC57"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w:t>
            </w:r>
          </w:p>
        </w:tc>
        <w:tc>
          <w:tcPr>
            <w:tcW w:w="3766" w:type="dxa"/>
            <w:tcBorders>
              <w:top w:val="single" w:sz="4" w:space="0" w:color="auto"/>
              <w:left w:val="nil"/>
              <w:bottom w:val="single" w:sz="4" w:space="0" w:color="auto"/>
              <w:right w:val="single" w:sz="4" w:space="0" w:color="auto"/>
            </w:tcBorders>
            <w:shd w:val="clear" w:color="auto" w:fill="auto"/>
            <w:noWrap/>
            <w:vAlign w:val="center"/>
          </w:tcPr>
          <w:p w14:paraId="07CF607F"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 xml:space="preserve">3.2 A new risk of bias tool for in-vitro research should be developed </w:t>
            </w:r>
            <w:r>
              <w:rPr>
                <w:rFonts w:ascii="Calibri" w:hAnsi="Calibri" w:cs="Calibri"/>
                <w:color w:val="000000"/>
              </w:rPr>
              <w:lastRenderedPageBreak/>
              <w:t>and used to assess the risk of bias in in-vitro research.</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9B5A847"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lastRenderedPageBreak/>
              <w:t>57.9%</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90571DB"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53.3%</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0ED8BAB"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60.0%</w:t>
            </w:r>
            <w:r>
              <w:rPr>
                <w:rFonts w:ascii="Calibri" w:eastAsia="Times New Roman" w:hAnsi="Calibri" w:cs="Calibri"/>
                <w:color w:val="000000"/>
                <w:vertAlign w:val="superscript"/>
                <w:lang w:eastAsia="en-GB"/>
              </w:rPr>
              <w:t>k</w:t>
            </w:r>
          </w:p>
        </w:tc>
      </w:tr>
      <w:tr w:rsidR="00183710" w:rsidRPr="00815C88" w14:paraId="36C984AE" w14:textId="77777777" w:rsidTr="00C50E48">
        <w:trPr>
          <w:gridAfter w:val="1"/>
          <w:wAfter w:w="723" w:type="dxa"/>
          <w:trHeight w:val="288"/>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82B23C"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w:t>
            </w:r>
          </w:p>
        </w:tc>
        <w:tc>
          <w:tcPr>
            <w:tcW w:w="3766" w:type="dxa"/>
            <w:tcBorders>
              <w:top w:val="single" w:sz="4" w:space="0" w:color="auto"/>
              <w:left w:val="nil"/>
              <w:bottom w:val="single" w:sz="4" w:space="0" w:color="auto"/>
              <w:right w:val="single" w:sz="4" w:space="0" w:color="auto"/>
            </w:tcBorders>
            <w:shd w:val="clear" w:color="auto" w:fill="auto"/>
            <w:noWrap/>
            <w:vAlign w:val="center"/>
          </w:tcPr>
          <w:p w14:paraId="15FC7C8B"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6.2 Was the research overseen by an independent steering committee?</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242A4AF"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55.0%</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1B48C4B"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58.8%</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676CDFF"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56.3%</w:t>
            </w:r>
          </w:p>
        </w:tc>
      </w:tr>
      <w:tr w:rsidR="00183710" w:rsidRPr="00815C88" w14:paraId="27B2DB7B" w14:textId="77777777" w:rsidTr="00C50E48">
        <w:trPr>
          <w:gridAfter w:val="1"/>
          <w:wAfter w:w="723" w:type="dxa"/>
          <w:trHeight w:val="288"/>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F3E744"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w:t>
            </w:r>
          </w:p>
        </w:tc>
        <w:tc>
          <w:tcPr>
            <w:tcW w:w="3766" w:type="dxa"/>
            <w:tcBorders>
              <w:top w:val="single" w:sz="4" w:space="0" w:color="auto"/>
              <w:left w:val="nil"/>
              <w:bottom w:val="single" w:sz="4" w:space="0" w:color="auto"/>
              <w:right w:val="single" w:sz="4" w:space="0" w:color="auto"/>
            </w:tcBorders>
            <w:shd w:val="clear" w:color="auto" w:fill="auto"/>
            <w:noWrap/>
            <w:vAlign w:val="center"/>
          </w:tcPr>
          <w:p w14:paraId="06FC16AA" w14:textId="77777777" w:rsidR="00183710" w:rsidRPr="00815C88" w:rsidRDefault="00183710" w:rsidP="00C50E48">
            <w:pPr>
              <w:spacing w:after="0" w:line="240" w:lineRule="auto"/>
              <w:rPr>
                <w:rFonts w:ascii="Calibri" w:eastAsia="Times New Roman" w:hAnsi="Calibri" w:cs="Calibri"/>
                <w:color w:val="000000"/>
                <w:lang w:eastAsia="en-GB"/>
              </w:rPr>
            </w:pPr>
            <w:r>
              <w:rPr>
                <w:rFonts w:ascii="Calibri" w:hAnsi="Calibri" w:cs="Calibri"/>
                <w:color w:val="000000"/>
              </w:rPr>
              <w:t>7.2 Were the observed differences and variation in the outcome similar to the difference used for sample size calculations?</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FFE2E16"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73.7%</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53AA98E"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76.5%</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68782D4" w14:textId="77777777" w:rsidR="00183710" w:rsidRPr="00815C88" w:rsidRDefault="00183710" w:rsidP="00C50E48">
            <w:pPr>
              <w:spacing w:after="0" w:line="240" w:lineRule="auto"/>
              <w:jc w:val="center"/>
              <w:rPr>
                <w:rFonts w:ascii="Calibri" w:eastAsia="Times New Roman" w:hAnsi="Calibri" w:cs="Calibri"/>
                <w:color w:val="000000"/>
                <w:lang w:eastAsia="en-GB"/>
              </w:rPr>
            </w:pPr>
            <w:r>
              <w:rPr>
                <w:rFonts w:ascii="Calibri" w:hAnsi="Calibri" w:cs="Calibri"/>
                <w:color w:val="000000"/>
              </w:rPr>
              <w:t>25.0%</w:t>
            </w:r>
          </w:p>
        </w:tc>
      </w:tr>
    </w:tbl>
    <w:p w14:paraId="139AB6B5" w14:textId="77777777" w:rsidR="00183710" w:rsidRPr="00796393" w:rsidRDefault="00183710" w:rsidP="00183710">
      <w:pPr>
        <w:pStyle w:val="Heading3"/>
        <w:rPr>
          <w:rFonts w:asciiTheme="minorHAnsi" w:hAnsiTheme="minorHAnsi" w:cstheme="minorHAnsi"/>
          <w:sz w:val="22"/>
          <w:szCs w:val="22"/>
        </w:rPr>
      </w:pPr>
    </w:p>
    <w:p w14:paraId="315FF9FF" w14:textId="77777777" w:rsidR="00183710" w:rsidRPr="00AC1A3F" w:rsidRDefault="00183710" w:rsidP="00183710">
      <w:proofErr w:type="spellStart"/>
      <w:r>
        <w:rPr>
          <w:vertAlign w:val="superscript"/>
        </w:rPr>
        <w:t>a</w:t>
      </w:r>
      <w:r w:rsidRPr="00AC1A3F">
        <w:t>The</w:t>
      </w:r>
      <w:proofErr w:type="spellEnd"/>
      <w:r w:rsidRPr="00AC1A3F">
        <w:t xml:space="preserve"> first number indicates the domain number. The second number (after the decimal point) indicates the number of the signalling question under the domain.</w:t>
      </w:r>
    </w:p>
    <w:p w14:paraId="4A0686F9" w14:textId="77777777" w:rsidR="00183710" w:rsidRDefault="00183710" w:rsidP="00183710">
      <w:proofErr w:type="spellStart"/>
      <w:r>
        <w:rPr>
          <w:vertAlign w:val="superscript"/>
        </w:rPr>
        <w:t>b</w:t>
      </w:r>
      <w:r w:rsidRPr="00AC1A3F">
        <w:t>We</w:t>
      </w:r>
      <w:proofErr w:type="spellEnd"/>
      <w:r w:rsidRPr="00AC1A3F">
        <w:t xml:space="preserve"> have ordered the tool according to the finally agreed version.</w:t>
      </w:r>
    </w:p>
    <w:p w14:paraId="7774E867" w14:textId="77777777" w:rsidR="00183710" w:rsidRPr="00AC1A3F" w:rsidRDefault="00183710" w:rsidP="00183710">
      <w:proofErr w:type="spellStart"/>
      <w:r>
        <w:rPr>
          <w:vertAlign w:val="superscript"/>
        </w:rPr>
        <w:t>c</w:t>
      </w:r>
      <w:r w:rsidRPr="00AC1A3F">
        <w:t>In</w:t>
      </w:r>
      <w:proofErr w:type="spellEnd"/>
      <w:r w:rsidRPr="00AC1A3F">
        <w:t xml:space="preserve"> the first round, the agreement on overall structure of the domain was sought. So, there are no figures available for individual domains. In subsequent rounds, agreement on each domain was sought.</w:t>
      </w:r>
    </w:p>
    <w:p w14:paraId="5B04B17A" w14:textId="77777777" w:rsidR="00183710" w:rsidRPr="00AC1A3F" w:rsidRDefault="00183710" w:rsidP="00183710">
      <w:proofErr w:type="spellStart"/>
      <w:r>
        <w:rPr>
          <w:vertAlign w:val="superscript"/>
        </w:rPr>
        <w:t>d</w:t>
      </w:r>
      <w:r>
        <w:t>This</w:t>
      </w:r>
      <w:proofErr w:type="spellEnd"/>
      <w:r>
        <w:t xml:space="preserve"> is a new domain or signalling question</w:t>
      </w:r>
      <w:r w:rsidRPr="00AC1A3F">
        <w:t xml:space="preserve"> </w:t>
      </w:r>
    </w:p>
    <w:p w14:paraId="5E196B1D" w14:textId="77777777" w:rsidR="00183710" w:rsidRPr="00AC1A3F" w:rsidRDefault="00183710" w:rsidP="00183710">
      <w:proofErr w:type="spellStart"/>
      <w:r>
        <w:rPr>
          <w:vertAlign w:val="superscript"/>
        </w:rPr>
        <w:t>e</w:t>
      </w:r>
      <w:r w:rsidRPr="00AC1A3F">
        <w:t>The</w:t>
      </w:r>
      <w:proofErr w:type="spellEnd"/>
      <w:r w:rsidRPr="00AC1A3F">
        <w:t xml:space="preserve"> most </w:t>
      </w:r>
      <w:r>
        <w:t xml:space="preserve">frequently </w:t>
      </w:r>
      <w:r w:rsidRPr="00AC1A3F">
        <w:t>preferred option of the Delphi panel was to include the questions under this domain under ‘Experimental design and analysis’. Therefore, this domain does not feature in the final tool despite consensus agreement</w:t>
      </w:r>
      <w:r>
        <w:t xml:space="preserve"> that the questions under domain were important</w:t>
      </w:r>
      <w:r w:rsidRPr="00AC1A3F">
        <w:t>.</w:t>
      </w:r>
    </w:p>
    <w:p w14:paraId="102F108E" w14:textId="77777777" w:rsidR="00183710" w:rsidRDefault="00183710" w:rsidP="00183710">
      <w:pPr>
        <w:rPr>
          <w:rFonts w:eastAsia="Times New Roman" w:cstheme="minorHAnsi"/>
          <w:color w:val="000000"/>
          <w:lang w:eastAsia="en-GB"/>
        </w:rPr>
      </w:pPr>
      <w:proofErr w:type="spellStart"/>
      <w:r>
        <w:rPr>
          <w:rFonts w:eastAsia="Times New Roman" w:cstheme="minorHAnsi"/>
          <w:color w:val="000000"/>
          <w:vertAlign w:val="superscript"/>
          <w:lang w:eastAsia="en-GB"/>
        </w:rPr>
        <w:t>f</w:t>
      </w:r>
      <w:r>
        <w:rPr>
          <w:rFonts w:eastAsia="Times New Roman" w:cstheme="minorHAnsi"/>
          <w:color w:val="000000"/>
          <w:lang w:eastAsia="en-GB"/>
        </w:rPr>
        <w:t>The</w:t>
      </w:r>
      <w:proofErr w:type="spellEnd"/>
      <w:r>
        <w:rPr>
          <w:rFonts w:eastAsia="Times New Roman" w:cstheme="minorHAnsi"/>
          <w:color w:val="000000"/>
          <w:lang w:eastAsia="en-GB"/>
        </w:rPr>
        <w:t xml:space="preserve"> most </w:t>
      </w:r>
      <w:r>
        <w:t xml:space="preserve">frequently </w:t>
      </w:r>
      <w:r>
        <w:rPr>
          <w:rFonts w:eastAsia="Times New Roman" w:cstheme="minorHAnsi"/>
          <w:color w:val="000000"/>
          <w:lang w:eastAsia="en-GB"/>
        </w:rPr>
        <w:t>preferred option of the panel members was to include this question in the explanation for question 6.3 current version, 7.3 initial version. Therefore, this question was removed despite achieving consensus.</w:t>
      </w:r>
    </w:p>
    <w:p w14:paraId="789AC2F7" w14:textId="77777777" w:rsidR="00183710" w:rsidRDefault="00183710" w:rsidP="00183710">
      <w:pPr>
        <w:rPr>
          <w:rFonts w:eastAsia="Times New Roman" w:cstheme="minorHAnsi"/>
          <w:color w:val="000000"/>
          <w:lang w:eastAsia="en-GB"/>
        </w:rPr>
      </w:pPr>
      <w:proofErr w:type="spellStart"/>
      <w:r>
        <w:rPr>
          <w:rFonts w:eastAsia="Times New Roman" w:cstheme="minorHAnsi"/>
          <w:color w:val="000000"/>
          <w:vertAlign w:val="superscript"/>
          <w:lang w:eastAsia="en-GB"/>
        </w:rPr>
        <w:t>g</w:t>
      </w:r>
      <w:r>
        <w:rPr>
          <w:rFonts w:eastAsia="Times New Roman" w:cstheme="minorHAnsi"/>
          <w:color w:val="000000"/>
          <w:lang w:eastAsia="en-GB"/>
        </w:rPr>
        <w:t>The</w:t>
      </w:r>
      <w:proofErr w:type="spellEnd"/>
      <w:r>
        <w:rPr>
          <w:rFonts w:eastAsia="Times New Roman" w:cstheme="minorHAnsi"/>
          <w:color w:val="000000"/>
          <w:lang w:eastAsia="en-GB"/>
        </w:rPr>
        <w:t xml:space="preserve"> most </w:t>
      </w:r>
      <w:r>
        <w:t xml:space="preserve">frequently </w:t>
      </w:r>
      <w:r>
        <w:rPr>
          <w:rFonts w:eastAsia="Times New Roman" w:cstheme="minorHAnsi"/>
          <w:color w:val="000000"/>
          <w:lang w:eastAsia="en-GB"/>
        </w:rPr>
        <w:t>preferred option of the panel members was to split this signalling question into three different signalling questions.</w:t>
      </w:r>
    </w:p>
    <w:p w14:paraId="64368473" w14:textId="77777777" w:rsidR="00183710" w:rsidRDefault="00183710" w:rsidP="00183710">
      <w:pPr>
        <w:rPr>
          <w:rFonts w:eastAsia="Times New Roman" w:cstheme="minorHAnsi"/>
          <w:color w:val="000000"/>
          <w:lang w:eastAsia="en-GB"/>
        </w:rPr>
      </w:pPr>
      <w:proofErr w:type="spellStart"/>
      <w:r>
        <w:rPr>
          <w:vertAlign w:val="superscript"/>
        </w:rPr>
        <w:lastRenderedPageBreak/>
        <w:t>h</w:t>
      </w:r>
      <w:r w:rsidRPr="00AC1A3F">
        <w:t>Three</w:t>
      </w:r>
      <w:proofErr w:type="spellEnd"/>
      <w:r w:rsidRPr="00AC1A3F">
        <w:t xml:space="preserve"> questions (original protocol version 5.2, 5.3, and 5.</w:t>
      </w:r>
      <w:r>
        <w:t>5</w:t>
      </w:r>
      <w:r w:rsidRPr="00AC1A3F">
        <w:t xml:space="preserve">) were combined into a single signalling question as this was the most </w:t>
      </w:r>
      <w:r>
        <w:t xml:space="preserve">frequently </w:t>
      </w:r>
      <w:r w:rsidRPr="00AC1A3F">
        <w:t>preferred option by the panel</w:t>
      </w:r>
    </w:p>
    <w:p w14:paraId="1A842066" w14:textId="77777777" w:rsidR="00183710" w:rsidRDefault="00183710" w:rsidP="00183710">
      <w:pPr>
        <w:rPr>
          <w:rFonts w:eastAsia="Times New Roman" w:cstheme="minorHAnsi"/>
          <w:color w:val="000000"/>
          <w:lang w:eastAsia="en-GB"/>
        </w:rPr>
      </w:pPr>
      <w:proofErr w:type="spellStart"/>
      <w:r>
        <w:rPr>
          <w:rFonts w:eastAsia="Times New Roman" w:cstheme="minorHAnsi"/>
          <w:color w:val="000000"/>
          <w:vertAlign w:val="superscript"/>
          <w:lang w:eastAsia="en-GB"/>
        </w:rPr>
        <w:t>i</w:t>
      </w:r>
      <w:r>
        <w:rPr>
          <w:rFonts w:eastAsia="Times New Roman" w:cstheme="minorHAnsi"/>
          <w:color w:val="000000"/>
          <w:lang w:eastAsia="en-GB"/>
        </w:rPr>
        <w:t>The</w:t>
      </w:r>
      <w:proofErr w:type="spellEnd"/>
      <w:r>
        <w:rPr>
          <w:rFonts w:eastAsia="Times New Roman" w:cstheme="minorHAnsi"/>
          <w:color w:val="000000"/>
          <w:lang w:eastAsia="en-GB"/>
        </w:rPr>
        <w:t xml:space="preserve"> most </w:t>
      </w:r>
      <w:r>
        <w:t xml:space="preserve">frequently </w:t>
      </w:r>
      <w:r>
        <w:rPr>
          <w:rFonts w:eastAsia="Times New Roman" w:cstheme="minorHAnsi"/>
          <w:color w:val="000000"/>
          <w:lang w:eastAsia="en-GB"/>
        </w:rPr>
        <w:t>preferred option of the panel members was to split this signalling question into two different signalling questions.</w:t>
      </w:r>
    </w:p>
    <w:p w14:paraId="59DB9CC1" w14:textId="77777777" w:rsidR="00183710" w:rsidRDefault="00183710" w:rsidP="00183710">
      <w:proofErr w:type="spellStart"/>
      <w:r>
        <w:rPr>
          <w:vertAlign w:val="superscript"/>
        </w:rPr>
        <w:t>j</w:t>
      </w:r>
      <w:r>
        <w:t>Although</w:t>
      </w:r>
      <w:proofErr w:type="spellEnd"/>
      <w:r>
        <w:t>, this was added as a new signalling question and a consensus reached on inclusion, it was decided by the panel members that this can be combined with 8.3.</w:t>
      </w:r>
    </w:p>
    <w:p w14:paraId="59197EB0" w14:textId="77777777" w:rsidR="00183710" w:rsidRDefault="00183710" w:rsidP="00183710">
      <w:proofErr w:type="spellStart"/>
      <w:r>
        <w:rPr>
          <w:vertAlign w:val="superscript"/>
        </w:rPr>
        <w:t>k</w:t>
      </w:r>
      <w:r w:rsidRPr="00AC1A3F">
        <w:t>This</w:t>
      </w:r>
      <w:proofErr w:type="spellEnd"/>
      <w:r w:rsidRPr="00AC1A3F">
        <w:t xml:space="preserve"> reflects the lack of consensus about including in vitro research for this tool rather than the lack of consensus about the necessity for a tool to assess the reliability of in vitro research.</w:t>
      </w:r>
    </w:p>
    <w:p w14:paraId="421E1954" w14:textId="77777777" w:rsidR="00183710" w:rsidRDefault="00183710" w:rsidP="00183710"/>
    <w:p w14:paraId="17BE7ADE" w14:textId="77777777" w:rsidR="00183710" w:rsidRDefault="00183710" w:rsidP="00183710">
      <w:pPr>
        <w:pStyle w:val="Heading2"/>
        <w:sectPr w:rsidR="00183710" w:rsidSect="00BE0CB9">
          <w:pgSz w:w="15840" w:h="12240" w:orient="landscape" w:code="1"/>
          <w:pgMar w:top="1440" w:right="1440" w:bottom="1440" w:left="1440" w:header="708" w:footer="708" w:gutter="0"/>
          <w:lnNumType w:countBy="1" w:restart="continuous"/>
          <w:cols w:space="708"/>
          <w:docGrid w:linePitch="360"/>
        </w:sectPr>
      </w:pPr>
    </w:p>
    <w:p w14:paraId="017C57D7" w14:textId="77777777" w:rsidR="00183710" w:rsidRDefault="00183710" w:rsidP="00183710">
      <w:pPr>
        <w:pStyle w:val="Heading2"/>
      </w:pPr>
      <w:r>
        <w:lastRenderedPageBreak/>
        <w:t>Appendix 2 Determining association between surrogate outcome and clinical outcome</w:t>
      </w:r>
    </w:p>
    <w:p w14:paraId="1A4287A2" w14:textId="4A486C50" w:rsidR="00183710" w:rsidRDefault="00183710" w:rsidP="00183710">
      <w:r>
        <w:t xml:space="preserve">There are many ways of determining the association between two variables </w:t>
      </w:r>
      <w:r>
        <w:fldChar w:fldCharType="begin"/>
      </w:r>
      <w:r w:rsidR="00907967">
        <w:instrText xml:space="preserve"> ADDIN EN.CITE &lt;EndNote&gt;&lt;Cite&gt;&lt;Author&gt;Lee Rodgers&lt;/Author&gt;&lt;Year&gt;1988&lt;/Year&gt;&lt;RecNum&gt;74&lt;/RecNum&gt;&lt;DisplayText&gt;(Lee Rodgers and Nicewander 1988)&lt;/DisplayText&gt;&lt;record&gt;&lt;rec-number&gt;74&lt;/rec-number&gt;&lt;foreign-keys&gt;&lt;key app="EN" db-id="2xx9d5ww02zawsefx9l59592dxxass0af05d" timestamp="1535084289"&gt;74&lt;/key&gt;&lt;/foreign-keys&gt;&lt;ref-type name="Journal Article"&gt;17&lt;/ref-type&gt;&lt;contributors&gt;&lt;authors&gt;&lt;author&gt;Lee Rodgers, Joseph&lt;/author&gt;&lt;author&gt;Nicewander, W. Alan&lt;/author&gt;&lt;/authors&gt;&lt;/contributors&gt;&lt;titles&gt;&lt;title&gt;Thirteen Ways to Look at the Correlation Coefficient&lt;/title&gt;&lt;secondary-title&gt;The American Statistician&lt;/secondary-title&gt;&lt;/titles&gt;&lt;periodical&gt;&lt;full-title&gt;The American Statistician&lt;/full-title&gt;&lt;/periodical&gt;&lt;pages&gt;59-66&lt;/pages&gt;&lt;volume&gt;42&lt;/volume&gt;&lt;number&gt;1&lt;/number&gt;&lt;dates&gt;&lt;year&gt;1988&lt;/year&gt;&lt;pub-dates&gt;&lt;date&gt;1988/02/01&lt;/date&gt;&lt;/pub-dates&gt;&lt;/dates&gt;&lt;publisher&gt;Taylor &amp;amp; Francis&lt;/publisher&gt;&lt;isbn&gt;0003-1305&lt;/isbn&gt;&lt;urls&gt;&lt;related-urls&gt;&lt;url&gt;https://doi.org/10.1080/00031305.1988.10475524&lt;/url&gt;&lt;/related-urls&gt;&lt;/urls&gt;&lt;electronic-resource-num&gt;10.1080/00031305.1988.10475524&lt;/electronic-resource-num&gt;&lt;/record&gt;&lt;/Cite&gt;&lt;/EndNote&gt;</w:instrText>
      </w:r>
      <w:r>
        <w:fldChar w:fldCharType="separate"/>
      </w:r>
      <w:r w:rsidR="00907967">
        <w:rPr>
          <w:noProof/>
        </w:rPr>
        <w:t>(Lee Rodgers and Nicewander 1988)</w:t>
      </w:r>
      <w:r>
        <w:fldChar w:fldCharType="end"/>
      </w:r>
      <w:r>
        <w:t xml:space="preserve">. Two common ways of determining the association between a surrogate outcome and a clinical outcome (or its animal equivalent) are correlation coefficient and relative risk ratio (or relative odds ratio) of the treatment effect of the surrogate outcome compared with that of the clinical outcome </w:t>
      </w:r>
      <w:r>
        <w:fldChar w:fldCharType="begin">
          <w:fldData xml:space="preserve">PEVuZE5vdGU+PENpdGU+PEF1dGhvcj5JbnN0aXR1dGUgZm9yIFF1YWxpdHkgYW5kIEVmZmljaWVu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</w:fldData>
        </w:fldChar>
      </w:r>
      <w:r w:rsidR="00907967">
        <w:instrText xml:space="preserve"> ADDIN EN.CITE </w:instrText>
      </w:r>
      <w:r w:rsidR="00907967">
        <w:fldChar w:fldCharType="begin">
          <w:fldData xml:space="preserve">PEVuZE5vdGU+PENpdGU+PEF1dGhvcj5JbnN0aXR1dGUgZm9yIFF1YWxpdHkgYW5kIEVmZmljaWVu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</w:fldData>
        </w:fldChar>
      </w:r>
      <w:r w:rsidR="00907967">
        <w:instrText xml:space="preserve"> ADDIN EN.CITE.DATA </w:instrText>
      </w:r>
      <w:r w:rsidR="00907967">
        <w:fldChar w:fldCharType="end"/>
      </w:r>
      <w:r>
        <w:fldChar w:fldCharType="separate"/>
      </w:r>
      <w:r w:rsidR="00907967">
        <w:rPr>
          <w:noProof/>
        </w:rPr>
        <w:t>(Institute for Quality and Efficiency in Health Care 2011, Ciani, Buyse et al. 2013)</w:t>
      </w:r>
      <w:r>
        <w:fldChar w:fldCharType="end"/>
      </w:r>
      <w:r>
        <w:t xml:space="preserve">. There are no universally accepted threshold values for interpretation of high association for neither of these measures. </w:t>
      </w:r>
    </w:p>
    <w:p w14:paraId="055A11FF" w14:textId="3F2B8CA3" w:rsidR="00183710" w:rsidRDefault="00183710" w:rsidP="00183710">
      <w:pPr>
        <w:ind w:firstLine="720"/>
      </w:pPr>
      <w:r>
        <w:t xml:space="preserve">Correlation coefficients range from -1.00 to +1.00. Values close to -1.00 or +1.00 indicate high negative or positive correlation, while values close to 0 indicate lack of correlation between two variables. </w:t>
      </w:r>
      <w:r w:rsidRPr="00F71775">
        <w:t>Institute for Quality and Efficiency in Health Care</w:t>
      </w:r>
      <w:r>
        <w:t xml:space="preserve"> suggests that the correlation can be considered high when </w:t>
      </w:r>
      <w:r w:rsidRPr="00482179">
        <w:t>lower limit of the 95% confidence interval</w:t>
      </w:r>
      <w:r>
        <w:t xml:space="preserve"> (CI) of the correlation coefficient is </w:t>
      </w:r>
      <w:r w:rsidRPr="00482179">
        <w:t>≥</w:t>
      </w:r>
      <w:r>
        <w:t xml:space="preserve"> 0.85, low when the upper limit of the 95% CI is </w:t>
      </w:r>
      <w:r w:rsidRPr="00482179">
        <w:t>≤ 0.7</w:t>
      </w:r>
      <w:r>
        <w:t xml:space="preserve">0, and moderate otherwise </w:t>
      </w:r>
      <w:r>
        <w:fldChar w:fldCharType="begin"/>
      </w:r>
      <w:r w:rsidR="00907967">
        <w:instrText xml:space="preserve"> ADDIN EN.CITE &lt;EndNote&gt;&lt;Cite&gt;&lt;Author&gt;Institute for Quality and Efficiency in Health Care&lt;/Author&gt;&lt;Year&gt;2011&lt;/Year&gt;&lt;RecNum&gt;75&lt;/RecNum&gt;&lt;DisplayText&gt;(Institute for Quality and Efficiency in Health Care 2011)&lt;/DisplayText&gt;&lt;record&gt;&lt;rec-number&gt;75&lt;/rec-number&gt;&lt;foreign-keys&gt;&lt;key app="EN" db-id="2xx9d5ww02zawsefx9l59592dxxass0af05d" timestamp="1535085351"&gt;75&lt;/key&gt;&lt;/foreign-keys&gt;&lt;ref-type name="Journal Article"&gt;17&lt;/ref-type&gt;&lt;contributors&gt;&lt;authors&gt;&lt;author&gt;Institute for Quality and Efficiency in Health Care,&lt;/author&gt;&lt;/authors&gt;&lt;/contributors&gt;&lt;titles&gt;&lt;title&gt;Validity of surrogate endpoints in oncology: Executive summary of rapid report A10-05, Version 1.1.&lt;/title&gt;&lt;secondary-title&gt;https://www.ncbi.nlm.nih.gov/books/NBK198799/ (accessed 24 August 2018)&lt;/secondary-title&gt;&lt;/titles&gt;&lt;periodical&gt;&lt;full-title&gt;https://www.ncbi.nlm.nih.gov/books/NBK198799/ (accessed 24 August 2018)&lt;/full-title&gt;&lt;/periodical&gt;&lt;dates&gt;&lt;year&gt;2011&lt;/year&gt;&lt;/dates&gt;&lt;urls&gt;&lt;/urls&gt;&lt;/record&gt;&lt;/Cite&gt;&lt;/EndNote&gt;</w:instrText>
      </w:r>
      <w:r>
        <w:fldChar w:fldCharType="separate"/>
      </w:r>
      <w:r w:rsidR="00907967">
        <w:rPr>
          <w:noProof/>
        </w:rPr>
        <w:t>(Institute for Quality and Efficiency in Health Care 2011)</w:t>
      </w:r>
      <w:r>
        <w:fldChar w:fldCharType="end"/>
      </w:r>
      <w:r>
        <w:t xml:space="preserve">. </w:t>
      </w:r>
    </w:p>
    <w:p w14:paraId="6B710ED5" w14:textId="7F35D018" w:rsidR="00183710" w:rsidRDefault="00183710" w:rsidP="00183710">
      <w:pPr>
        <w:ind w:firstLine="720"/>
      </w:pPr>
      <w:r>
        <w:t xml:space="preserve">There is also no guidance on the interpretation of relative odds ratio or relative risk ratio values. Values close to 1.00 indicate that the treatment effects of surrogate outcomes and clinical outcomes are similar. Values below 1.00 indicate overestimation of treatment effects and values above 1.00 indicate underestimation of treatment effects by the surrogate outcome for a ‘bad outcome’ (an outcome where lower proportions or values are preferable, for example proportion dead or symptom score). The reverse is true for a ‘good outcome’ (an outcome where higher proportions or values are preferable, for example, cure or health-related quality of life). One can find whether the differences in the effect estimates between the surrogate outcome and clinical outcome are statistically significant by using methods described by Altman et al. to compare the effect estimates </w:t>
      </w:r>
      <w:r>
        <w:fldChar w:fldCharType="begin"/>
      </w:r>
      <w:r w:rsidR="00907967">
        <w:instrText xml:space="preserve"> ADDIN EN.CITE &lt;EndNote&gt;&lt;Cite&gt;&lt;Author&gt;Altman&lt;/Author&gt;&lt;Year&gt;2003&lt;/Year&gt;&lt;RecNum&gt;77&lt;/RecNum&gt;&lt;DisplayText&gt;(Altman and Bland 2003)&lt;/DisplayText&gt;&lt;record&gt;&lt;rec-number&gt;77&lt;/rec-number&gt;&lt;foreign-keys&gt;&lt;key app="EN" db-id="2xx9d5ww02zawsefx9l59592dxxass0af05d" timestamp="1535086572"&gt;77&lt;/key&gt;&lt;/foreign-keys&gt;&lt;ref-type name="Journal Article"&gt;17&lt;/ref-type&gt;&lt;contributors&gt;&lt;authors&gt;&lt;author&gt;Altman, Douglas G&lt;/author&gt;&lt;author&gt;Bland, J Martin&lt;/author&gt;&lt;/authors&gt;&lt;/contributors&gt;&lt;titles&gt;&lt;title&gt;Interaction revisited: the difference between two estimates&lt;/title&gt;&lt;secondary-title&gt;BMJ&lt;/secondary-title&gt;&lt;/titles&gt;&lt;periodical&gt;&lt;full-title&gt;BMJ&lt;/full-title&gt;&lt;/periodical&gt;&lt;pages&gt;219&lt;/pages&gt;&lt;volume&gt;326&lt;/volume&gt;&lt;number&gt;7382&lt;/number&gt;&lt;dates&gt;&lt;year&gt;2003&lt;/year&gt;&lt;/dates&gt;&lt;urls&gt;&lt;related-urls&gt;&lt;url&gt;https://www.bmj.com/content/bmj/326/7382/219.full.pdf&lt;/url&gt;&lt;/related-urls&gt;&lt;/urls&gt;&lt;electronic-resource-num&gt;10.1136/bmj.326.7382.219 %J BMJ&lt;/electronic-resource-num&gt;&lt;/record&gt;&lt;/Cite&gt;&lt;/EndNote&gt;</w:instrText>
      </w:r>
      <w:r>
        <w:fldChar w:fldCharType="separate"/>
      </w:r>
      <w:r w:rsidR="00907967">
        <w:rPr>
          <w:noProof/>
        </w:rPr>
        <w:t>(Altman and Bland 2003)</w:t>
      </w:r>
      <w:r>
        <w:fldChar w:fldCharType="end"/>
      </w:r>
      <w:r>
        <w:t xml:space="preserve">, although some adjustments have to be made to the calculations of the pooled standard error because the estimates have been obtained from the same samples </w:t>
      </w:r>
      <w:r>
        <w:fldChar w:fldCharType="begin"/>
      </w:r>
      <w:r w:rsidR="00907967">
        <w:instrText xml:space="preserve"> ADDIN EN.CITE &lt;EndNote&gt;&lt;Cite&gt;&lt;Author&gt;Borenstein&lt;/Author&gt;&lt;Year&gt;2009&lt;/Year&gt;&lt;RecNum&gt;78&lt;/RecNum&gt;&lt;DisplayText&gt;(Borenstein, Hedges et al. 2009)&lt;/DisplayText&gt;&lt;record&gt;&lt;rec-number&gt;78&lt;/rec-number&gt;&lt;foreign-keys&gt;&lt;key app="EN" db-id="2xx9d5ww02zawsefx9l59592dxxass0af05d" timestamp="1535087018"&gt;78&lt;/key&gt;&lt;/foreign-keys&gt;&lt;ref-type name="Journal Article"&gt;17&lt;/ref-type&gt;&lt;contributors&gt;&lt;authors&gt;&lt;author&gt;Borenstein, M&lt;/author&gt;&lt;author&gt;Hedges, L&lt;/author&gt;&lt;author&gt;Higgins, J&lt;/author&gt;&lt;author&gt;Rothstein, HR&lt;/author&gt;&lt;/authors&gt;&lt;/contributors&gt;&lt;titles&gt;&lt;title&gt;Chapter 4: Effect sizes based on means&lt;/title&gt;&lt;secondary-title&gt;Introduction to meta-analysis&lt;/secondary-title&gt;&lt;/titles&gt;&lt;section&gt;21-32&lt;/section&gt;&lt;dates&gt;&lt;year&gt;2009&lt;/year&gt;&lt;/dates&gt;&lt;publisher&gt;John Wiley &amp;amp; Sons Inc&lt;/publisher&gt;&lt;urls&gt;&lt;/urls&gt;&lt;/record&gt;&lt;/Cite&gt;&lt;/EndNote&gt;</w:instrText>
      </w:r>
      <w:r>
        <w:fldChar w:fldCharType="separate"/>
      </w:r>
      <w:r w:rsidR="00907967">
        <w:rPr>
          <w:noProof/>
        </w:rPr>
        <w:t>(Borenstein, Hedges et al. 2009)</w:t>
      </w:r>
      <w:r>
        <w:fldChar w:fldCharType="end"/>
      </w:r>
      <w:r>
        <w:t>.</w:t>
      </w:r>
    </w:p>
    <w:p w14:paraId="6B52E37F" w14:textId="77777777" w:rsidR="00183710" w:rsidRDefault="00183710" w:rsidP="00183710">
      <w:pPr>
        <w:pStyle w:val="Heading2"/>
      </w:pPr>
      <w:r>
        <w:t>Appendix 3 Examples of surrogate outcomes that failed to be a good substitute for clinical outcomes</w:t>
      </w:r>
    </w:p>
    <w:p w14:paraId="65EE66C3" w14:textId="1D77D954" w:rsidR="00183710" w:rsidRPr="004870A2" w:rsidRDefault="00183710" w:rsidP="00183710">
      <w:r>
        <w:rPr>
          <w:rFonts w:ascii="Calibri" w:eastAsia="Times New Roman" w:hAnsi="Calibri" w:cs="Calibri"/>
          <w:color w:val="000000"/>
          <w:lang w:eastAsia="en-GB"/>
        </w:rPr>
        <w:t>There are several examples of treatments that cause an improvement in the surrogate outcome (which is correlated with the clinical outcome) but actually result in harm to patients. V</w:t>
      </w:r>
      <w:r w:rsidRPr="00425EC1">
        <w:rPr>
          <w:rFonts w:ascii="Calibri" w:eastAsia="Times New Roman" w:hAnsi="Calibri" w:cs="Calibri"/>
          <w:color w:val="000000"/>
          <w:lang w:eastAsia="en-GB"/>
        </w:rPr>
        <w:t>entricular ectopic beats are associated with adverse prognosis in patients with myocardial infarction and class 1 antiarrhythmic agents effectively suppress ventricular arrhythmias in animals and humans</w:t>
      </w:r>
      <w:r>
        <w:rPr>
          <w:rFonts w:ascii="Calibri" w:eastAsia="Times New Roman" w:hAnsi="Calibri" w:cs="Calibri"/>
          <w:color w:val="000000"/>
          <w:lang w:eastAsia="en-GB"/>
        </w:rPr>
        <w:t xml:space="preserve">; however, </w:t>
      </w:r>
      <w:r w:rsidRPr="00425EC1">
        <w:rPr>
          <w:rFonts w:ascii="Calibri" w:eastAsia="Times New Roman" w:hAnsi="Calibri" w:cs="Calibri"/>
          <w:color w:val="000000"/>
          <w:lang w:eastAsia="en-GB"/>
        </w:rPr>
        <w:t xml:space="preserve">these drugs </w:t>
      </w:r>
      <w:r>
        <w:rPr>
          <w:rFonts w:ascii="Calibri" w:eastAsia="Times New Roman" w:hAnsi="Calibri" w:cs="Calibri"/>
          <w:color w:val="000000"/>
          <w:lang w:eastAsia="en-GB"/>
        </w:rPr>
        <w:t xml:space="preserve">increased human </w:t>
      </w:r>
      <w:r w:rsidRPr="00425EC1">
        <w:rPr>
          <w:rFonts w:ascii="Calibri" w:eastAsia="Times New Roman" w:hAnsi="Calibri" w:cs="Calibri"/>
          <w:color w:val="000000"/>
          <w:lang w:eastAsia="en-GB"/>
        </w:rPr>
        <w:t>mortality when evaluated in randomi</w:t>
      </w:r>
      <w:r>
        <w:rPr>
          <w:rFonts w:ascii="Calibri" w:eastAsia="Times New Roman" w:hAnsi="Calibri" w:cs="Calibri"/>
          <w:color w:val="000000"/>
          <w:lang w:eastAsia="en-GB"/>
        </w:rPr>
        <w:t>sed controlled t</w:t>
      </w:r>
      <w:r w:rsidRPr="00425EC1">
        <w:rPr>
          <w:rFonts w:ascii="Calibri" w:eastAsia="Times New Roman" w:hAnsi="Calibri" w:cs="Calibri"/>
          <w:color w:val="000000"/>
          <w:lang w:eastAsia="en-GB"/>
        </w:rPr>
        <w:t>rials</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907967">
        <w:rPr>
          <w:rFonts w:ascii="Calibri" w:eastAsia="Times New Roman" w:hAnsi="Calibri" w:cs="Calibri"/>
          <w:color w:val="000000"/>
          <w:lang w:eastAsia="en-GB"/>
        </w:rPr>
        <w:instrText xml:space="preserve"> ADDIN EN.CITE &lt;EndNote&gt;&lt;Cite&gt;&lt;Author&gt;Bucher&lt;/Author&gt;&lt;Year&gt;1999&lt;/Year&gt;&lt;RecNum&gt;82&lt;/RecNum&gt;&lt;DisplayText&gt;(Bucher, Guyatt et al. 1999)&lt;/DisplayText&gt;&lt;record&gt;&lt;rec-number&gt;82&lt;/rec-number&gt;&lt;foreign-keys&gt;&lt;key app="EN" db-id="2xx9d5ww02zawsefx9l59592dxxass0af05d" timestamp="1535090162"&gt;82&lt;/key&gt;&lt;/foreign-keys&gt;&lt;ref-type name="Journal Article"&gt;17&lt;/ref-type&gt;&lt;contributors&gt;&lt;authors&gt;&lt;author&gt;Bucher, H. C.&lt;/author&gt;&lt;author&gt;Guyatt, G. H.&lt;/author&gt;&lt;author&gt;Cook, D. J.&lt;/author&gt;&lt;author&gt;Holbrook, A.&lt;/author&gt;&lt;author&gt;McAlister, F. A.&lt;/author&gt;&lt;author&gt;for the Evidence-Based Medicine Working, Group&lt;/author&gt;&lt;/authors&gt;&lt;/contributors&gt;&lt;titles&gt;&lt;title&gt;Users&amp;apos; guides to the medical literature: XIX. applying clinical trial results a. how to use an article measuring the effect of an intervention on surrogate end points&lt;/title&gt;&lt;secondary-title&gt;JAMA&lt;/secondary-title&gt;&lt;/titles&gt;&lt;periodical&gt;&lt;full-title&gt;JAMA&lt;/full-title&gt;&lt;/periodical&gt;&lt;pages&gt;771-778&lt;/pages&gt;&lt;volume&gt;282&lt;/volume&gt;&lt;number&gt;8&lt;/number&gt;&lt;dates&gt;&lt;year&gt;1999&lt;/year&gt;&lt;/dates&gt;&lt;isbn&gt;0098-7484&lt;/isbn&gt;&lt;urls&gt;&lt;related-urls&gt;&lt;url&gt;http://dx.doi.org/10.1001/jama.282.8.771&lt;/url&gt;&lt;/related-urls&gt;&lt;/urls&gt;&lt;electronic-resource-num&gt;10.1001/jama.282.8.771&lt;/electronic-resource-num&gt;&lt;/record&gt;&lt;/Cite&gt;&lt;/EndNote&gt;</w:instrText>
      </w:r>
      <w:r>
        <w:rPr>
          <w:rFonts w:ascii="Calibri" w:eastAsia="Times New Roman" w:hAnsi="Calibri" w:cs="Calibri"/>
          <w:color w:val="000000"/>
          <w:lang w:eastAsia="en-GB"/>
        </w:rPr>
        <w:fldChar w:fldCharType="separate"/>
      </w:r>
      <w:r w:rsidR="00907967">
        <w:rPr>
          <w:rFonts w:ascii="Calibri" w:eastAsia="Times New Roman" w:hAnsi="Calibri" w:cs="Calibri"/>
          <w:noProof/>
          <w:color w:val="000000"/>
          <w:lang w:eastAsia="en-GB"/>
        </w:rPr>
        <w:t>(Bucher, Guyatt et al. 1999)</w:t>
      </w:r>
      <w:r>
        <w:rPr>
          <w:rFonts w:ascii="Calibri" w:eastAsia="Times New Roman" w:hAnsi="Calibri" w:cs="Calibri"/>
          <w:color w:val="000000"/>
          <w:lang w:eastAsia="en-GB"/>
        </w:rPr>
        <w:fldChar w:fldCharType="end"/>
      </w:r>
      <w:r w:rsidRPr="00425EC1">
        <w:rPr>
          <w:rFonts w:ascii="Calibri" w:eastAsia="Times New Roman" w:hAnsi="Calibri" w:cs="Calibri"/>
          <w:color w:val="000000"/>
          <w:lang w:eastAsia="en-GB"/>
        </w:rPr>
        <w:t>.</w:t>
      </w:r>
      <w:r>
        <w:rPr>
          <w:rFonts w:ascii="Calibri" w:eastAsia="Times New Roman" w:hAnsi="Calibri" w:cs="Calibri"/>
          <w:color w:val="000000"/>
          <w:lang w:eastAsia="en-GB"/>
        </w:rPr>
        <w:t xml:space="preserve"> This probably resulted in tens of </w:t>
      </w:r>
      <w:r>
        <w:rPr>
          <w:rFonts w:ascii="Calibri" w:eastAsia="Times New Roman" w:hAnsi="Calibri" w:cs="Calibri"/>
          <w:color w:val="000000"/>
          <w:lang w:eastAsia="en-GB"/>
        </w:rPr>
        <w:lastRenderedPageBreak/>
        <w:t xml:space="preserve">thousands of deaths in people with non-lethal arrhythmias because of the </w:t>
      </w:r>
      <w:r w:rsidRPr="00425EC1">
        <w:rPr>
          <w:rFonts w:ascii="Calibri" w:eastAsia="Times New Roman" w:hAnsi="Calibri" w:cs="Calibri"/>
          <w:color w:val="000000"/>
          <w:lang w:eastAsia="en-GB"/>
        </w:rPr>
        <w:t xml:space="preserve">reliance on the </w:t>
      </w:r>
      <w:r>
        <w:rPr>
          <w:rFonts w:ascii="Calibri" w:eastAsia="Times New Roman" w:hAnsi="Calibri" w:cs="Calibri"/>
          <w:color w:val="000000"/>
          <w:lang w:eastAsia="en-GB"/>
        </w:rPr>
        <w:t xml:space="preserve">surrogate outcomes </w:t>
      </w:r>
      <w:r>
        <w:rPr>
          <w:rFonts w:ascii="Calibri" w:eastAsia="Times New Roman" w:hAnsi="Calibri" w:cs="Calibri"/>
          <w:color w:val="000000"/>
          <w:lang w:eastAsia="en-GB"/>
        </w:rPr>
        <w:fldChar w:fldCharType="begin"/>
      </w:r>
      <w:r w:rsidR="00907967">
        <w:rPr>
          <w:rFonts w:ascii="Calibri" w:eastAsia="Times New Roman" w:hAnsi="Calibri" w:cs="Calibri"/>
          <w:color w:val="000000"/>
          <w:lang w:eastAsia="en-GB"/>
        </w:rPr>
        <w:instrText xml:space="preserve"> ADDIN EN.CITE &lt;EndNote&gt;&lt;Cite&gt;&lt;Author&gt;Bucher&lt;/Author&gt;&lt;Year&gt;1999&lt;/Year&gt;&lt;RecNum&gt;82&lt;/RecNum&gt;&lt;DisplayText&gt;(Bucher, Guyatt et al. 1999)&lt;/DisplayText&gt;&lt;record&gt;&lt;rec-number&gt;82&lt;/rec-number&gt;&lt;foreign-keys&gt;&lt;key app="EN" db-id="2xx9d5ww02zawsefx9l59592dxxass0af05d" timestamp="1535090162"&gt;82&lt;/key&gt;&lt;/foreign-keys&gt;&lt;ref-type name="Journal Article"&gt;17&lt;/ref-type&gt;&lt;contributors&gt;&lt;authors&gt;&lt;author&gt;Bucher, H. C.&lt;/author&gt;&lt;author&gt;Guyatt, G. H.&lt;/author&gt;&lt;author&gt;Cook, D. J.&lt;/author&gt;&lt;author&gt;Holbrook, A.&lt;/author&gt;&lt;author&gt;McAlister, F. A.&lt;/author&gt;&lt;author&gt;for the Evidence-Based Medicine Working, Group&lt;/author&gt;&lt;/authors&gt;&lt;/contributors&gt;&lt;titles&gt;&lt;title&gt;Users&amp;apos; guides to the medical literature: XIX. applying clinical trial results a. how to use an article measuring the effect of an intervention on surrogate end points&lt;/title&gt;&lt;secondary-title&gt;JAMA&lt;/secondary-title&gt;&lt;/titles&gt;&lt;periodical&gt;&lt;full-title&gt;JAMA&lt;/full-title&gt;&lt;/periodical&gt;&lt;pages&gt;771-778&lt;/pages&gt;&lt;volume&gt;282&lt;/volume&gt;&lt;number&gt;8&lt;/number&gt;&lt;dates&gt;&lt;year&gt;1999&lt;/year&gt;&lt;/dates&gt;&lt;isbn&gt;0098-7484&lt;/isbn&gt;&lt;urls&gt;&lt;related-urls&gt;&lt;url&gt;http://dx.doi.org/10.1001/jama.282.8.771&lt;/url&gt;&lt;/related-urls&gt;&lt;/urls&gt;&lt;electronic-resource-num&gt;10.1001/jama.282.8.771&lt;/electronic-resource-num&gt;&lt;/record&gt;&lt;/Cite&gt;&lt;/EndNote&gt;</w:instrText>
      </w:r>
      <w:r>
        <w:rPr>
          <w:rFonts w:ascii="Calibri" w:eastAsia="Times New Roman" w:hAnsi="Calibri" w:cs="Calibri"/>
          <w:color w:val="000000"/>
          <w:lang w:eastAsia="en-GB"/>
        </w:rPr>
        <w:fldChar w:fldCharType="separate"/>
      </w:r>
      <w:r w:rsidR="00907967">
        <w:rPr>
          <w:rFonts w:ascii="Calibri" w:eastAsia="Times New Roman" w:hAnsi="Calibri" w:cs="Calibri"/>
          <w:noProof/>
          <w:color w:val="000000"/>
          <w:lang w:eastAsia="en-GB"/>
        </w:rPr>
        <w:t>(Bucher, Guyatt et al. 1999)</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people with heart failure, </w:t>
      </w:r>
      <w:r w:rsidRPr="007D59C5">
        <w:rPr>
          <w:rFonts w:ascii="Calibri" w:eastAsia="Times New Roman" w:hAnsi="Calibri" w:cs="Calibri"/>
          <w:color w:val="000000"/>
          <w:lang w:eastAsia="en-GB"/>
        </w:rPr>
        <w:t xml:space="preserve">angiotensin-converting enzyme inhibitors </w:t>
      </w:r>
      <w:r>
        <w:rPr>
          <w:rFonts w:ascii="Calibri" w:eastAsia="Times New Roman" w:hAnsi="Calibri" w:cs="Calibri"/>
          <w:color w:val="000000"/>
          <w:lang w:eastAsia="en-GB"/>
        </w:rPr>
        <w:t>improved exercise capacity and decreased mortality as demonstrated by randomised controlled trials, but other classes of drugs such as m</w:t>
      </w:r>
      <w:r w:rsidRPr="007D59C5">
        <w:rPr>
          <w:rFonts w:ascii="Calibri" w:eastAsia="Times New Roman" w:hAnsi="Calibri" w:cs="Calibri"/>
          <w:color w:val="000000"/>
          <w:lang w:eastAsia="en-GB"/>
        </w:rPr>
        <w:t xml:space="preserve">ilrinone and </w:t>
      </w:r>
      <w:proofErr w:type="spellStart"/>
      <w:r w:rsidRPr="007D59C5">
        <w:rPr>
          <w:rFonts w:ascii="Calibri" w:eastAsia="Times New Roman" w:hAnsi="Calibri" w:cs="Calibri"/>
          <w:color w:val="000000"/>
          <w:lang w:eastAsia="en-GB"/>
        </w:rPr>
        <w:t>epoprostenol</w:t>
      </w:r>
      <w:proofErr w:type="spellEnd"/>
      <w:r>
        <w:rPr>
          <w:rFonts w:ascii="Calibri" w:eastAsia="Times New Roman" w:hAnsi="Calibri" w:cs="Calibri"/>
          <w:color w:val="000000"/>
          <w:lang w:eastAsia="en-GB"/>
        </w:rPr>
        <w:t xml:space="preserve"> caused increased cardiovascular mortality despite improving the exercise tolerance </w:t>
      </w:r>
      <w:r>
        <w:rPr>
          <w:rFonts w:ascii="Calibri" w:eastAsia="Times New Roman" w:hAnsi="Calibri" w:cs="Calibri"/>
          <w:color w:val="000000"/>
          <w:lang w:eastAsia="en-GB"/>
        </w:rPr>
        <w:fldChar w:fldCharType="begin"/>
      </w:r>
      <w:r w:rsidR="00907967">
        <w:rPr>
          <w:rFonts w:ascii="Calibri" w:eastAsia="Times New Roman" w:hAnsi="Calibri" w:cs="Calibri"/>
          <w:color w:val="000000"/>
          <w:lang w:eastAsia="en-GB"/>
        </w:rPr>
        <w:instrText xml:space="preserve"> ADDIN EN.CITE &lt;EndNote&gt;&lt;Cite&gt;&lt;Author&gt;Bucher&lt;/Author&gt;&lt;Year&gt;1999&lt;/Year&gt;&lt;RecNum&gt;82&lt;/RecNum&gt;&lt;DisplayText&gt;(Bucher, Guyatt et al. 1999)&lt;/DisplayText&gt;&lt;record&gt;&lt;rec-number&gt;82&lt;/rec-number&gt;&lt;foreign-keys&gt;&lt;key app="EN" db-id="2xx9d5ww02zawsefx9l59592dxxass0af05d" timestamp="1535090162"&gt;82&lt;/key&gt;&lt;/foreign-keys&gt;&lt;ref-type name="Journal Article"&gt;17&lt;/ref-type&gt;&lt;contributors&gt;&lt;authors&gt;&lt;author&gt;Bucher, H. C.&lt;/author&gt;&lt;author&gt;Guyatt, G. H.&lt;/author&gt;&lt;author&gt;Cook, D. J.&lt;/author&gt;&lt;author&gt;Holbrook, A.&lt;/author&gt;&lt;author&gt;McAlister, F. A.&lt;/author&gt;&lt;author&gt;for the Evidence-Based Medicine Working, Group&lt;/author&gt;&lt;/authors&gt;&lt;/contributors&gt;&lt;titles&gt;&lt;title&gt;Users&amp;apos; guides to the medical literature: XIX. applying clinical trial results a. how to use an article measuring the effect of an intervention on surrogate end points&lt;/title&gt;&lt;secondary-title&gt;JAMA&lt;/secondary-title&gt;&lt;/titles&gt;&lt;periodical&gt;&lt;full-title&gt;JAMA&lt;/full-title&gt;&lt;/periodical&gt;&lt;pages&gt;771-778&lt;/pages&gt;&lt;volume&gt;282&lt;/volume&gt;&lt;number&gt;8&lt;/number&gt;&lt;dates&gt;&lt;year&gt;1999&lt;/year&gt;&lt;/dates&gt;&lt;isbn&gt;0098-7484&lt;/isbn&gt;&lt;urls&gt;&lt;related-urls&gt;&lt;url&gt;http://dx.doi.org/10.1001/jama.282.8.771&lt;/url&gt;&lt;/related-urls&gt;&lt;/urls&gt;&lt;electronic-resource-num&gt;10.1001/jama.282.8.771&lt;/electronic-resource-num&gt;&lt;/record&gt;&lt;/Cite&gt;&lt;/EndNote&gt;</w:instrText>
      </w:r>
      <w:r>
        <w:rPr>
          <w:rFonts w:ascii="Calibri" w:eastAsia="Times New Roman" w:hAnsi="Calibri" w:cs="Calibri"/>
          <w:color w:val="000000"/>
          <w:lang w:eastAsia="en-GB"/>
        </w:rPr>
        <w:fldChar w:fldCharType="separate"/>
      </w:r>
      <w:r w:rsidR="00907967">
        <w:rPr>
          <w:rFonts w:ascii="Calibri" w:eastAsia="Times New Roman" w:hAnsi="Calibri" w:cs="Calibri"/>
          <w:noProof/>
          <w:color w:val="000000"/>
          <w:lang w:eastAsia="en-GB"/>
        </w:rPr>
        <w:t>(Bucher, Guyatt et al. 1999)</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w:t>
      </w:r>
      <w:r w:rsidRPr="0086662C">
        <w:rPr>
          <w:rFonts w:ascii="Calibri" w:eastAsia="Times New Roman" w:hAnsi="Calibri" w:cs="Calibri"/>
          <w:color w:val="000000"/>
          <w:lang w:eastAsia="en-GB"/>
        </w:rPr>
        <w:t>In diabetes, glyc</w:t>
      </w:r>
      <w:r>
        <w:rPr>
          <w:rFonts w:ascii="Calibri" w:eastAsia="Times New Roman" w:hAnsi="Calibri" w:cs="Calibri"/>
          <w:color w:val="000000"/>
          <w:lang w:eastAsia="en-GB"/>
        </w:rPr>
        <w:t xml:space="preserve">osylated </w:t>
      </w:r>
      <w:r w:rsidRPr="0086662C">
        <w:rPr>
          <w:rFonts w:ascii="Calibri" w:eastAsia="Times New Roman" w:hAnsi="Calibri" w:cs="Calibri"/>
          <w:color w:val="000000"/>
          <w:lang w:eastAsia="en-GB"/>
        </w:rPr>
        <w:t xml:space="preserve">haemoglobin (HbA1c) </w:t>
      </w:r>
      <w:r>
        <w:rPr>
          <w:rFonts w:ascii="Calibri" w:eastAsia="Times New Roman" w:hAnsi="Calibri" w:cs="Calibri"/>
          <w:color w:val="000000"/>
          <w:lang w:eastAsia="en-GB"/>
        </w:rPr>
        <w:t>is</w:t>
      </w:r>
      <w:r w:rsidRPr="0086662C">
        <w:rPr>
          <w:rFonts w:ascii="Calibri" w:eastAsia="Times New Roman" w:hAnsi="Calibri" w:cs="Calibri"/>
          <w:color w:val="000000"/>
          <w:lang w:eastAsia="en-GB"/>
        </w:rPr>
        <w:t xml:space="preserve"> used as a surrogate marker for </w:t>
      </w:r>
      <w:r>
        <w:rPr>
          <w:rFonts w:ascii="Calibri" w:eastAsia="Times New Roman" w:hAnsi="Calibri" w:cs="Calibri"/>
          <w:color w:val="000000"/>
          <w:lang w:eastAsia="en-GB"/>
        </w:rPr>
        <w:t xml:space="preserve">clinical </w:t>
      </w:r>
      <w:r w:rsidRPr="0086662C">
        <w:rPr>
          <w:rFonts w:ascii="Calibri" w:eastAsia="Times New Roman" w:hAnsi="Calibri" w:cs="Calibri"/>
          <w:color w:val="000000"/>
          <w:lang w:eastAsia="en-GB"/>
        </w:rPr>
        <w:t>outcomes</w:t>
      </w:r>
      <w:r>
        <w:rPr>
          <w:rFonts w:ascii="Calibri" w:eastAsia="Times New Roman" w:hAnsi="Calibri" w:cs="Calibri"/>
          <w:color w:val="000000"/>
          <w:lang w:eastAsia="en-GB"/>
        </w:rPr>
        <w:t xml:space="preserve">. However, some </w:t>
      </w:r>
      <w:r w:rsidRPr="0086662C">
        <w:rPr>
          <w:rFonts w:ascii="Calibri" w:eastAsia="Times New Roman" w:hAnsi="Calibri" w:cs="Calibri"/>
          <w:color w:val="000000"/>
          <w:lang w:eastAsia="en-GB"/>
        </w:rPr>
        <w:t>oral hypoglycaemic drugs that reduce HbA1c increase the risk of cardiovascular events</w:t>
      </w:r>
      <w:r>
        <w:rPr>
          <w:rFonts w:ascii="Calibri" w:eastAsia="Times New Roman" w:hAnsi="Calibri" w:cs="Calibri"/>
          <w:color w:val="000000"/>
          <w:lang w:eastAsia="en-GB"/>
        </w:rPr>
        <w:t xml:space="preserve"> </w:t>
      </w:r>
      <w:r>
        <w:rPr>
          <w:rFonts w:ascii="Calibri" w:eastAsia="Times New Roman" w:hAnsi="Calibri" w:cs="Calibri"/>
          <w:color w:val="000000"/>
          <w:lang w:eastAsia="en-GB"/>
        </w:rPr>
        <w:fldChar w:fldCharType="begin"/>
      </w:r>
      <w:r w:rsidR="00907967">
        <w:rPr>
          <w:rFonts w:ascii="Calibri" w:eastAsia="Times New Roman" w:hAnsi="Calibri" w:cs="Calibri"/>
          <w:color w:val="000000"/>
          <w:lang w:eastAsia="en-GB"/>
        </w:rPr>
        <w:instrText xml:space="preserve"> ADDIN EN.CITE &lt;EndNote&gt;&lt;Cite&gt;&lt;Author&gt;Yudkin&lt;/Author&gt;&lt;Year&gt;2011&lt;/Year&gt;&lt;RecNum&gt;83&lt;/RecNum&gt;&lt;DisplayText&gt;(Yudkin, Lipska et al. 2011)&lt;/DisplayText&gt;&lt;record&gt;&lt;rec-number&gt;83&lt;/rec-number&gt;&lt;foreign-keys&gt;&lt;key app="EN" db-id="2xx9d5ww02zawsefx9l59592dxxass0af05d" timestamp="1535091303"&gt;83&lt;/key&gt;&lt;/foreign-keys&gt;&lt;ref-type name="Journal Article"&gt;17&lt;/ref-type&gt;&lt;contributors&gt;&lt;authors&gt;&lt;author&gt;Yudkin, John S&lt;/author&gt;&lt;author&gt;Lipska, Kasia J&lt;/author&gt;&lt;author&gt;Montori, Victor M&lt;/author&gt;&lt;/authors&gt;&lt;/contributors&gt;&lt;titles&gt;&lt;title&gt;The idolatry of the surrogate&lt;/title&gt;&lt;secondary-title&gt;BMJ&lt;/secondary-title&gt;&lt;/titles&gt;&lt;periodical&gt;&lt;full-title&gt;BMJ&lt;/full-title&gt;&lt;/periodical&gt;&lt;volume&gt;343&lt;/volume&gt;&lt;dates&gt;&lt;year&gt;2011&lt;/year&gt;&lt;/dates&gt;&lt;urls&gt;&lt;related-urls&gt;&lt;url&gt;https://www.bmj.com/content/bmj/343/bmj.d7995.full.pdf&lt;/url&gt;&lt;/related-urls&gt;&lt;/urls&gt;&lt;electronic-resource-num&gt;10.1136/bmj.d7995 %J BMJ&lt;/electronic-resource-num&gt;&lt;/record&gt;&lt;/Cite&gt;&lt;/EndNote&gt;</w:instrText>
      </w:r>
      <w:r>
        <w:rPr>
          <w:rFonts w:ascii="Calibri" w:eastAsia="Times New Roman" w:hAnsi="Calibri" w:cs="Calibri"/>
          <w:color w:val="000000"/>
          <w:lang w:eastAsia="en-GB"/>
        </w:rPr>
        <w:fldChar w:fldCharType="separate"/>
      </w:r>
      <w:r w:rsidR="00907967">
        <w:rPr>
          <w:rFonts w:ascii="Calibri" w:eastAsia="Times New Roman" w:hAnsi="Calibri" w:cs="Calibri"/>
          <w:noProof/>
          <w:color w:val="000000"/>
          <w:lang w:eastAsia="en-GB"/>
        </w:rPr>
        <w:t>(Yudkin, Lipska et al. 2011)</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xml:space="preserve">. In cancer, </w:t>
      </w:r>
      <w:r w:rsidRPr="001640B7">
        <w:rPr>
          <w:rFonts w:ascii="Calibri" w:eastAsia="Times New Roman" w:hAnsi="Calibri" w:cs="Calibri"/>
          <w:color w:val="000000"/>
        </w:rPr>
        <w:t>Kim et al</w:t>
      </w:r>
      <w:r>
        <w:rPr>
          <w:rFonts w:ascii="Calibri" w:eastAsia="Times New Roman" w:hAnsi="Calibri" w:cs="Calibri"/>
          <w:color w:val="000000"/>
        </w:rPr>
        <w:t>.</w:t>
      </w:r>
      <w:r w:rsidRPr="001640B7">
        <w:rPr>
          <w:rFonts w:ascii="Calibri" w:eastAsia="Times New Roman" w:hAnsi="Calibri" w:cs="Calibri"/>
          <w:color w:val="000000"/>
        </w:rPr>
        <w:t xml:space="preserve"> found that only about 15% of the </w:t>
      </w:r>
      <w:r>
        <w:rPr>
          <w:rFonts w:ascii="Calibri" w:eastAsia="Times New Roman" w:hAnsi="Calibri" w:cs="Calibri"/>
          <w:color w:val="000000"/>
        </w:rPr>
        <w:t xml:space="preserve">36 cancer </w:t>
      </w:r>
      <w:r w:rsidRPr="001640B7">
        <w:rPr>
          <w:rFonts w:ascii="Calibri" w:eastAsia="Times New Roman" w:hAnsi="Calibri" w:cs="Calibri"/>
          <w:color w:val="000000"/>
        </w:rPr>
        <w:t xml:space="preserve">drugs approved by </w:t>
      </w:r>
      <w:r>
        <w:rPr>
          <w:rFonts w:ascii="Calibri" w:eastAsia="Times New Roman" w:hAnsi="Calibri" w:cs="Calibri"/>
          <w:color w:val="000000"/>
        </w:rPr>
        <w:t xml:space="preserve">the US </w:t>
      </w:r>
      <w:r w:rsidRPr="001640B7">
        <w:rPr>
          <w:rFonts w:ascii="Calibri" w:eastAsia="Times New Roman" w:hAnsi="Calibri" w:cs="Calibri"/>
          <w:color w:val="000000"/>
        </w:rPr>
        <w:t>FDA between 2008 and 2012 on the basis of</w:t>
      </w:r>
      <w:r>
        <w:rPr>
          <w:rFonts w:ascii="Calibri" w:eastAsia="Times New Roman" w:hAnsi="Calibri" w:cs="Calibri"/>
          <w:color w:val="000000"/>
        </w:rPr>
        <w:t xml:space="preserve"> reduction in tumour size or volume, </w:t>
      </w:r>
      <w:r w:rsidRPr="001640B7">
        <w:rPr>
          <w:rFonts w:ascii="Calibri" w:eastAsia="Times New Roman" w:hAnsi="Calibri" w:cs="Calibri"/>
          <w:color w:val="000000"/>
        </w:rPr>
        <w:t>progression-free survival</w:t>
      </w:r>
      <w:r>
        <w:rPr>
          <w:rFonts w:ascii="Calibri" w:eastAsia="Times New Roman" w:hAnsi="Calibri" w:cs="Calibri"/>
          <w:color w:val="000000"/>
        </w:rPr>
        <w:t>,</w:t>
      </w:r>
      <w:r w:rsidRPr="001640B7">
        <w:rPr>
          <w:rFonts w:ascii="Calibri" w:eastAsia="Times New Roman" w:hAnsi="Calibri" w:cs="Calibri"/>
          <w:color w:val="000000"/>
        </w:rPr>
        <w:t xml:space="preserve"> </w:t>
      </w:r>
      <w:r>
        <w:rPr>
          <w:rFonts w:ascii="Calibri" w:eastAsia="Times New Roman" w:hAnsi="Calibri" w:cs="Calibri"/>
          <w:color w:val="000000"/>
        </w:rPr>
        <w:t>or</w:t>
      </w:r>
      <w:r w:rsidRPr="001640B7">
        <w:rPr>
          <w:rFonts w:ascii="Calibri" w:eastAsia="Times New Roman" w:hAnsi="Calibri" w:cs="Calibri"/>
          <w:color w:val="000000"/>
        </w:rPr>
        <w:t xml:space="preserve"> disease-free survival improved overall survival</w:t>
      </w:r>
      <w:r>
        <w:rPr>
          <w:rFonts w:ascii="Calibri" w:eastAsia="Times New Roman" w:hAnsi="Calibri" w:cs="Calibri"/>
          <w:color w:val="000000"/>
        </w:rPr>
        <w:t xml:space="preserve"> </w:t>
      </w:r>
      <w:r>
        <w:rPr>
          <w:rFonts w:ascii="Calibri" w:eastAsia="Times New Roman" w:hAnsi="Calibri" w:cs="Calibri"/>
          <w:color w:val="000000"/>
        </w:rPr>
        <w:fldChar w:fldCharType="begin"/>
      </w:r>
      <w:r w:rsidR="00907967">
        <w:rPr>
          <w:rFonts w:ascii="Calibri" w:eastAsia="Times New Roman" w:hAnsi="Calibri" w:cs="Calibri"/>
          <w:color w:val="000000"/>
        </w:rPr>
        <w:instrText xml:space="preserve"> ADDIN EN.CITE &lt;EndNote&gt;&lt;Cite&gt;&lt;Author&gt;Kim&lt;/Author&gt;&lt;Year&gt;2015&lt;/Year&gt;&lt;RecNum&gt;84&lt;/RecNum&gt;&lt;DisplayText&gt;(Kim and Prasad 2015)&lt;/DisplayText&gt;&lt;record&gt;&lt;rec-number&gt;84&lt;/rec-number&gt;&lt;foreign-keys&gt;&lt;key app="EN" db-id="2xx9d5ww02zawsefx9l59592dxxass0af05d" timestamp="1535091871"&gt;84&lt;/key&gt;&lt;/foreign-keys&gt;&lt;ref-type name="Journal Article"&gt;17&lt;/ref-type&gt;&lt;contributors&gt;&lt;authors&gt;&lt;author&gt;Kim, C.&lt;/author&gt;&lt;author&gt;Prasad, V.&lt;/author&gt;&lt;/authors&gt;&lt;/contributors&gt;&lt;titles&gt;&lt;title&gt;Cancer drugs approved on the basis of a surrogate end point and subsequent overall survival: An analysis of 5 years of us food and drug administration approvals&lt;/title&gt;&lt;secondary-title&gt;JAMA Internal Medicine&lt;/secondary-title&gt;&lt;/titles&gt;&lt;periodical&gt;&lt;full-title&gt;JAMA Internal Medicine&lt;/full-title&gt;&lt;/periodical&gt;&lt;pages&gt;1992-1994&lt;/pages&gt;&lt;volume&gt;175&lt;/volume&gt;&lt;number&gt;12&lt;/number&gt;&lt;dates&gt;&lt;year&gt;2015&lt;/year&gt;&lt;/dates&gt;&lt;isbn&gt;2168-6106&lt;/isbn&gt;&lt;urls&gt;&lt;related-urls&gt;&lt;url&gt;http://dx.doi.org/10.1001/jamainternmed.2015.5868&lt;/url&gt;&lt;/related-urls&gt;&lt;/urls&gt;&lt;electronic-resource-num&gt;10.1001/jamainternmed.2015.5868&lt;/electronic-resource-num&gt;&lt;/record&gt;&lt;/Cite&gt;&lt;/EndNote&gt;</w:instrText>
      </w:r>
      <w:r>
        <w:rPr>
          <w:rFonts w:ascii="Calibri" w:eastAsia="Times New Roman" w:hAnsi="Calibri" w:cs="Calibri"/>
          <w:color w:val="000000"/>
        </w:rPr>
        <w:fldChar w:fldCharType="separate"/>
      </w:r>
      <w:r w:rsidR="00907967">
        <w:rPr>
          <w:rFonts w:ascii="Calibri" w:eastAsia="Times New Roman" w:hAnsi="Calibri" w:cs="Calibri"/>
          <w:noProof/>
          <w:color w:val="000000"/>
        </w:rPr>
        <w:t>(Kim and Prasad 2015)</w:t>
      </w:r>
      <w:r>
        <w:rPr>
          <w:rFonts w:ascii="Calibri" w:eastAsia="Times New Roman" w:hAnsi="Calibri" w:cs="Calibri"/>
          <w:color w:val="000000"/>
        </w:rPr>
        <w:fldChar w:fldCharType="end"/>
      </w:r>
      <w:r w:rsidRPr="001640B7">
        <w:rPr>
          <w:rFonts w:ascii="Calibri" w:eastAsia="Times New Roman" w:hAnsi="Calibri" w:cs="Calibri"/>
          <w:color w:val="000000"/>
        </w:rPr>
        <w:t>.</w:t>
      </w:r>
      <w:r>
        <w:rPr>
          <w:rFonts w:ascii="Calibri" w:eastAsia="Times New Roman" w:hAnsi="Calibri" w:cs="Calibri"/>
          <w:color w:val="000000"/>
        </w:rPr>
        <w:t xml:space="preserve"> In 50% of the cancer drugs, it was clearly demonstrated that there was no improvement in overall survival with uncertainty remaining in the remaining 35% of the drugs </w:t>
      </w:r>
      <w:r>
        <w:rPr>
          <w:rFonts w:ascii="Calibri" w:eastAsia="Times New Roman" w:hAnsi="Calibri" w:cs="Calibri"/>
          <w:color w:val="000000"/>
        </w:rPr>
        <w:fldChar w:fldCharType="begin"/>
      </w:r>
      <w:r w:rsidR="00907967">
        <w:rPr>
          <w:rFonts w:ascii="Calibri" w:eastAsia="Times New Roman" w:hAnsi="Calibri" w:cs="Calibri"/>
          <w:color w:val="000000"/>
        </w:rPr>
        <w:instrText xml:space="preserve"> ADDIN EN.CITE &lt;EndNote&gt;&lt;Cite&gt;&lt;Author&gt;Kim&lt;/Author&gt;&lt;Year&gt;2015&lt;/Year&gt;&lt;RecNum&gt;84&lt;/RecNum&gt;&lt;DisplayText&gt;(Kim and Prasad 2015)&lt;/DisplayText&gt;&lt;record&gt;&lt;rec-number&gt;84&lt;/rec-number&gt;&lt;foreign-keys&gt;&lt;key app="EN" db-id="2xx9d5ww02zawsefx9l59592dxxass0af05d" timestamp="1535091871"&gt;84&lt;/key&gt;&lt;/foreign-keys&gt;&lt;ref-type name="Journal Article"&gt;17&lt;/ref-type&gt;&lt;contributors&gt;&lt;authors&gt;&lt;author&gt;Kim, C.&lt;/author&gt;&lt;author&gt;Prasad, V.&lt;/author&gt;&lt;/authors&gt;&lt;/contributors&gt;&lt;titles&gt;&lt;title&gt;Cancer drugs approved on the basis of a surrogate end point and subsequent overall survival: An analysis of 5 years of us food and drug administration approvals&lt;/title&gt;&lt;secondary-title&gt;JAMA Internal Medicine&lt;/secondary-title&gt;&lt;/titles&gt;&lt;periodical&gt;&lt;full-title&gt;JAMA Internal Medicine&lt;/full-title&gt;&lt;/periodical&gt;&lt;pages&gt;1992-1994&lt;/pages&gt;&lt;volume&gt;175&lt;/volume&gt;&lt;number&gt;12&lt;/number&gt;&lt;dates&gt;&lt;year&gt;2015&lt;/year&gt;&lt;/dates&gt;&lt;isbn&gt;2168-6106&lt;/isbn&gt;&lt;urls&gt;&lt;related-urls&gt;&lt;url&gt;http://dx.doi.org/10.1001/jamainternmed.2015.5868&lt;/url&gt;&lt;/related-urls&gt;&lt;/urls&gt;&lt;electronic-resource-num&gt;10.1001/jamainternmed.2015.5868&lt;/electronic-resource-num&gt;&lt;/record&gt;&lt;/Cite&gt;&lt;/EndNote&gt;</w:instrText>
      </w:r>
      <w:r>
        <w:rPr>
          <w:rFonts w:ascii="Calibri" w:eastAsia="Times New Roman" w:hAnsi="Calibri" w:cs="Calibri"/>
          <w:color w:val="000000"/>
        </w:rPr>
        <w:fldChar w:fldCharType="separate"/>
      </w:r>
      <w:r w:rsidR="00907967">
        <w:rPr>
          <w:rFonts w:ascii="Calibri" w:eastAsia="Times New Roman" w:hAnsi="Calibri" w:cs="Calibri"/>
          <w:noProof/>
          <w:color w:val="000000"/>
        </w:rPr>
        <w:t>(Kim and Prasad 2015)</w:t>
      </w:r>
      <w:r>
        <w:rPr>
          <w:rFonts w:ascii="Calibri" w:eastAsia="Times New Roman" w:hAnsi="Calibri" w:cs="Calibri"/>
          <w:color w:val="000000"/>
        </w:rPr>
        <w:fldChar w:fldCharType="end"/>
      </w:r>
      <w:r>
        <w:rPr>
          <w:rFonts w:ascii="Calibri" w:eastAsia="Times New Roman" w:hAnsi="Calibri" w:cs="Calibri"/>
          <w:color w:val="000000"/>
        </w:rPr>
        <w:t xml:space="preserve">. Rupp et al. evaluated whether the 50% of the cancer drugs with no improvement in overall survival improved the health-related quality of life (HRQoL). They found information on health-related quality of life for only 7 of the 18 drugs: only one of the drugs improved HRQoL; two drugs worsened the HRQoL; there was no difference in HRQoL or inconsistent results about HRQoL for the remaining drugs </w:t>
      </w:r>
      <w:r>
        <w:rPr>
          <w:rFonts w:ascii="Calibri" w:eastAsia="Times New Roman" w:hAnsi="Calibri" w:cs="Calibri"/>
          <w:color w:val="000000"/>
        </w:rPr>
        <w:fldChar w:fldCharType="begin"/>
      </w:r>
      <w:r w:rsidR="00907967">
        <w:rPr>
          <w:rFonts w:ascii="Calibri" w:eastAsia="Times New Roman" w:hAnsi="Calibri" w:cs="Calibri"/>
          <w:color w:val="000000"/>
        </w:rPr>
        <w:instrText xml:space="preserve"> ADDIN EN.CITE &lt;EndNote&gt;&lt;Cite&gt;&lt;Author&gt;Rupp&lt;/Author&gt;&lt;Year&gt;2017&lt;/Year&gt;&lt;RecNum&gt;85&lt;/RecNum&gt;&lt;DisplayText&gt;(Rupp and Zuckerman 2017)&lt;/DisplayText&gt;&lt;record&gt;&lt;rec-number&gt;85&lt;/rec-number&gt;&lt;foreign-keys&gt;&lt;key app="EN" db-id="2xx9d5ww02zawsefx9l59592dxxass0af05d" timestamp="1535092289"&gt;85&lt;/key&gt;&lt;/foreign-keys&gt;&lt;ref-type name="Journal Article"&gt;17&lt;/ref-type&gt;&lt;contributors&gt;&lt;authors&gt;&lt;author&gt;Rupp, T.&lt;/author&gt;&lt;author&gt;Zuckerman, D.&lt;/author&gt;&lt;/authors&gt;&lt;/contributors&gt;&lt;titles&gt;&lt;title&gt;Quality of life, overall survival, and costs of cancer drugs approved based on surrogate endpoints&lt;/title&gt;&lt;secondary-title&gt;JAMA Internal Medicine&lt;/secondary-title&gt;&lt;/titles&gt;&lt;periodical&gt;&lt;full-title&gt;JAMA Internal Medicine&lt;/full-title&gt;&lt;/periodical&gt;&lt;pages&gt;276-277&lt;/pages&gt;&lt;volume&gt;177&lt;/volume&gt;&lt;number&gt;2&lt;/number&gt;&lt;dates&gt;&lt;year&gt;2017&lt;/year&gt;&lt;/dates&gt;&lt;isbn&gt;2168-6106&lt;/isbn&gt;&lt;urls&gt;&lt;related-urls&gt;&lt;url&gt;http://dx.doi.org/10.1001/jamainternmed.2016.7761&lt;/url&gt;&lt;/related-urls&gt;&lt;/urls&gt;&lt;electronic-resource-num&gt;10.1001/jamainternmed.2016.7761&lt;/electronic-resource-num&gt;&lt;/record&gt;&lt;/Cite&gt;&lt;/EndNote&gt;</w:instrText>
      </w:r>
      <w:r>
        <w:rPr>
          <w:rFonts w:ascii="Calibri" w:eastAsia="Times New Roman" w:hAnsi="Calibri" w:cs="Calibri"/>
          <w:color w:val="000000"/>
        </w:rPr>
        <w:fldChar w:fldCharType="separate"/>
      </w:r>
      <w:r w:rsidR="00907967">
        <w:rPr>
          <w:rFonts w:ascii="Calibri" w:eastAsia="Times New Roman" w:hAnsi="Calibri" w:cs="Calibri"/>
          <w:noProof/>
          <w:color w:val="000000"/>
        </w:rPr>
        <w:t>(Rupp and Zuckerman 2017)</w:t>
      </w:r>
      <w:r>
        <w:rPr>
          <w:rFonts w:ascii="Calibri" w:eastAsia="Times New Roman" w:hAnsi="Calibri" w:cs="Calibri"/>
          <w:color w:val="000000"/>
        </w:rPr>
        <w:fldChar w:fldCharType="end"/>
      </w:r>
      <w:r>
        <w:rPr>
          <w:rFonts w:ascii="Calibri" w:eastAsia="Times New Roman" w:hAnsi="Calibri" w:cs="Calibri"/>
          <w:color w:val="000000"/>
        </w:rPr>
        <w:t>.</w:t>
      </w:r>
    </w:p>
    <w:p w14:paraId="55541E85" w14:textId="29FE18BC" w:rsidR="00BE0CB9" w:rsidRPr="00BE0CB9" w:rsidRDefault="00BE0CB9" w:rsidP="00BE0CB9">
      <w:pPr>
        <w:pStyle w:val="Heading1"/>
      </w:pPr>
      <w:r w:rsidRPr="00BE0CB9">
        <w:t>References</w:t>
      </w:r>
    </w:p>
    <w:p w14:paraId="2237AF4A" w14:textId="77777777" w:rsidR="00907967" w:rsidRPr="00907967" w:rsidRDefault="00BE0CB9" w:rsidP="00907967">
      <w:pPr>
        <w:rPr>
          <w:noProof/>
        </w:rPr>
      </w:pPr>
      <w:r>
        <w:rPr>
          <w:noProof/>
        </w:rPr>
        <w:fldChar w:fldCharType="begin"/>
      </w:r>
      <w:r>
        <w:instrText xml:space="preserve"> ADDIN EN.REFLIST </w:instrText>
      </w:r>
      <w:r>
        <w:rPr>
          <w:noProof/>
        </w:rPr>
        <w:fldChar w:fldCharType="separate"/>
      </w:r>
      <w:r w:rsidR="00907967" w:rsidRPr="00907967">
        <w:rPr>
          <w:noProof/>
        </w:rPr>
        <w:t xml:space="preserve">Altman, D. G. and J. M. Bland (2003). "Interaction revisited: the difference between two estimates." </w:t>
      </w:r>
      <w:r w:rsidR="00907967" w:rsidRPr="00907967">
        <w:rPr>
          <w:noProof/>
          <w:u w:val="single"/>
        </w:rPr>
        <w:t>BMJ</w:t>
      </w:r>
      <w:r w:rsidR="00907967" w:rsidRPr="00907967">
        <w:rPr>
          <w:noProof/>
        </w:rPr>
        <w:t xml:space="preserve"> </w:t>
      </w:r>
      <w:r w:rsidR="00907967" w:rsidRPr="00907967">
        <w:rPr>
          <w:b/>
          <w:noProof/>
        </w:rPr>
        <w:t>326</w:t>
      </w:r>
      <w:r w:rsidR="00907967" w:rsidRPr="00907967">
        <w:rPr>
          <w:noProof/>
        </w:rPr>
        <w:t>(7382): 219.</w:t>
      </w:r>
    </w:p>
    <w:p w14:paraId="412BD3FF" w14:textId="77777777" w:rsidR="00907967" w:rsidRPr="00907967" w:rsidRDefault="00907967" w:rsidP="00907967">
      <w:pPr>
        <w:rPr>
          <w:noProof/>
        </w:rPr>
      </w:pPr>
      <w:r w:rsidRPr="00907967">
        <w:rPr>
          <w:noProof/>
        </w:rPr>
        <w:t xml:space="preserve">Borenstein, M., L. Hedges, J. Higgins and H. Rothstein (2009). "Chapter 4: Effect sizes based on means." </w:t>
      </w:r>
      <w:r w:rsidRPr="00907967">
        <w:rPr>
          <w:noProof/>
          <w:u w:val="single"/>
        </w:rPr>
        <w:t>Introduction to meta-analysis</w:t>
      </w:r>
      <w:r w:rsidRPr="00907967">
        <w:rPr>
          <w:noProof/>
        </w:rPr>
        <w:t>.</w:t>
      </w:r>
    </w:p>
    <w:p w14:paraId="0EC77DFD" w14:textId="77777777" w:rsidR="00907967" w:rsidRPr="00907967" w:rsidRDefault="00907967" w:rsidP="00907967">
      <w:pPr>
        <w:rPr>
          <w:noProof/>
        </w:rPr>
      </w:pPr>
      <w:r w:rsidRPr="00907967">
        <w:rPr>
          <w:noProof/>
        </w:rPr>
        <w:t xml:space="preserve">Bucher, H. C., G. H. Guyatt, D. J. Cook, A. Holbrook, F. A. McAlister and G. for the Evidence-Based Medicine Working (1999). "Users' guides to the medical literature: XIX. applying clinical trial results a. how to use an article measuring the effect of an intervention on surrogate end points." </w:t>
      </w:r>
      <w:r w:rsidRPr="00907967">
        <w:rPr>
          <w:noProof/>
          <w:u w:val="single"/>
        </w:rPr>
        <w:t>JAMA</w:t>
      </w:r>
      <w:r w:rsidRPr="00907967">
        <w:rPr>
          <w:noProof/>
        </w:rPr>
        <w:t xml:space="preserve"> </w:t>
      </w:r>
      <w:r w:rsidRPr="00907967">
        <w:rPr>
          <w:b/>
          <w:noProof/>
        </w:rPr>
        <w:t>282</w:t>
      </w:r>
      <w:r w:rsidRPr="00907967">
        <w:rPr>
          <w:noProof/>
        </w:rPr>
        <w:t>(8): 771-778.</w:t>
      </w:r>
    </w:p>
    <w:p w14:paraId="477DA481" w14:textId="77777777" w:rsidR="00907967" w:rsidRPr="00907967" w:rsidRDefault="00907967" w:rsidP="00907967">
      <w:pPr>
        <w:rPr>
          <w:noProof/>
        </w:rPr>
      </w:pPr>
      <w:r w:rsidRPr="00907967">
        <w:rPr>
          <w:noProof/>
        </w:rPr>
        <w:t xml:space="preserve">Ciani, O., M. Buyse, R. Garside, T. Pavey, K. Stein, J. A. Sterne and R. S. Taylor (2013). "Comparison of treatment effect sizes associated with surrogate and final patient relevant outcomes in randomised controlled trials: meta-epidemiological study." </w:t>
      </w:r>
      <w:r w:rsidRPr="00907967">
        <w:rPr>
          <w:noProof/>
          <w:u w:val="single"/>
        </w:rPr>
        <w:t>BMJ</w:t>
      </w:r>
      <w:r w:rsidRPr="00907967">
        <w:rPr>
          <w:noProof/>
        </w:rPr>
        <w:t xml:space="preserve"> </w:t>
      </w:r>
      <w:r w:rsidRPr="00907967">
        <w:rPr>
          <w:b/>
          <w:noProof/>
        </w:rPr>
        <w:t>346</w:t>
      </w:r>
      <w:r w:rsidRPr="00907967">
        <w:rPr>
          <w:noProof/>
        </w:rPr>
        <w:t>: f457.</w:t>
      </w:r>
    </w:p>
    <w:p w14:paraId="437FC6EB" w14:textId="200978C2" w:rsidR="00907967" w:rsidRPr="00907967" w:rsidRDefault="00907967" w:rsidP="00907967">
      <w:pPr>
        <w:rPr>
          <w:noProof/>
        </w:rPr>
      </w:pPr>
      <w:r w:rsidRPr="00907967">
        <w:rPr>
          <w:noProof/>
        </w:rPr>
        <w:t xml:space="preserve">Institute for Quality and Efficiency in Health Care (2011). "Validity of surrogate endpoints in oncology: Executive summary of rapid report A10-05, Version 1.1." </w:t>
      </w:r>
      <w:hyperlink r:id="rId4" w:history="1">
        <w:r w:rsidRPr="00907967">
          <w:rPr>
            <w:rStyle w:val="Hyperlink"/>
            <w:noProof/>
          </w:rPr>
          <w:t>https://www.ncbi.nlm.nih.gov/books/NBK198799/</w:t>
        </w:r>
      </w:hyperlink>
      <w:r w:rsidRPr="00907967">
        <w:rPr>
          <w:noProof/>
          <w:u w:val="single"/>
        </w:rPr>
        <w:t xml:space="preserve"> (accessed 24 August 2018)</w:t>
      </w:r>
      <w:r w:rsidRPr="00907967">
        <w:rPr>
          <w:noProof/>
        </w:rPr>
        <w:t>.</w:t>
      </w:r>
    </w:p>
    <w:p w14:paraId="0A7132B5" w14:textId="77777777" w:rsidR="00907967" w:rsidRPr="00907967" w:rsidRDefault="00907967" w:rsidP="00907967">
      <w:pPr>
        <w:rPr>
          <w:noProof/>
        </w:rPr>
      </w:pPr>
      <w:r w:rsidRPr="00907967">
        <w:rPr>
          <w:noProof/>
        </w:rPr>
        <w:lastRenderedPageBreak/>
        <w:t xml:space="preserve">Kim, C. and V. Prasad (2015). "Cancer drugs approved on the basis of a surrogate end point and subsequent overall survival: An analysis of 5 years of us food and drug administration approvals." </w:t>
      </w:r>
      <w:r w:rsidRPr="00907967">
        <w:rPr>
          <w:noProof/>
          <w:u w:val="single"/>
        </w:rPr>
        <w:t>JAMA Internal Medicine</w:t>
      </w:r>
      <w:r w:rsidRPr="00907967">
        <w:rPr>
          <w:noProof/>
        </w:rPr>
        <w:t xml:space="preserve"> </w:t>
      </w:r>
      <w:r w:rsidRPr="00907967">
        <w:rPr>
          <w:b/>
          <w:noProof/>
        </w:rPr>
        <w:t>175</w:t>
      </w:r>
      <w:r w:rsidRPr="00907967">
        <w:rPr>
          <w:noProof/>
        </w:rPr>
        <w:t>(12): 1992-1994.</w:t>
      </w:r>
    </w:p>
    <w:p w14:paraId="77025713" w14:textId="77777777" w:rsidR="00907967" w:rsidRPr="00907967" w:rsidRDefault="00907967" w:rsidP="00907967">
      <w:pPr>
        <w:rPr>
          <w:noProof/>
        </w:rPr>
      </w:pPr>
      <w:r w:rsidRPr="00907967">
        <w:rPr>
          <w:noProof/>
        </w:rPr>
        <w:t xml:space="preserve">Lee Rodgers, J. and W. A. Nicewander (1988). "Thirteen Ways to Look at the Correlation Coefficient." </w:t>
      </w:r>
      <w:r w:rsidRPr="00907967">
        <w:rPr>
          <w:noProof/>
          <w:u w:val="single"/>
        </w:rPr>
        <w:t>The American Statistician</w:t>
      </w:r>
      <w:r w:rsidRPr="00907967">
        <w:rPr>
          <w:noProof/>
        </w:rPr>
        <w:t xml:space="preserve"> </w:t>
      </w:r>
      <w:r w:rsidRPr="00907967">
        <w:rPr>
          <w:b/>
          <w:noProof/>
        </w:rPr>
        <w:t>42</w:t>
      </w:r>
      <w:r w:rsidRPr="00907967">
        <w:rPr>
          <w:noProof/>
        </w:rPr>
        <w:t>(1): 59-66.</w:t>
      </w:r>
    </w:p>
    <w:p w14:paraId="0F8D5CBB" w14:textId="77777777" w:rsidR="00907967" w:rsidRPr="00907967" w:rsidRDefault="00907967" w:rsidP="00907967">
      <w:pPr>
        <w:rPr>
          <w:noProof/>
        </w:rPr>
      </w:pPr>
      <w:r w:rsidRPr="00907967">
        <w:rPr>
          <w:noProof/>
        </w:rPr>
        <w:t xml:space="preserve">Rupp, T. and D. Zuckerman (2017). "Quality of life, overall survival, and costs of cancer drugs approved based on surrogate endpoints." </w:t>
      </w:r>
      <w:r w:rsidRPr="00907967">
        <w:rPr>
          <w:noProof/>
          <w:u w:val="single"/>
        </w:rPr>
        <w:t>JAMA Internal Medicine</w:t>
      </w:r>
      <w:r w:rsidRPr="00907967">
        <w:rPr>
          <w:noProof/>
        </w:rPr>
        <w:t xml:space="preserve"> </w:t>
      </w:r>
      <w:r w:rsidRPr="00907967">
        <w:rPr>
          <w:b/>
          <w:noProof/>
        </w:rPr>
        <w:t>177</w:t>
      </w:r>
      <w:r w:rsidRPr="00907967">
        <w:rPr>
          <w:noProof/>
        </w:rPr>
        <w:t>(2): 276-277.</w:t>
      </w:r>
    </w:p>
    <w:p w14:paraId="3C3E33B2" w14:textId="77777777" w:rsidR="00907967" w:rsidRPr="00907967" w:rsidRDefault="00907967" w:rsidP="00907967">
      <w:pPr>
        <w:rPr>
          <w:noProof/>
        </w:rPr>
      </w:pPr>
      <w:r w:rsidRPr="00907967">
        <w:rPr>
          <w:noProof/>
        </w:rPr>
        <w:t xml:space="preserve">Yudkin, J. S., K. J. Lipska and V. M. Montori (2011). "The idolatry of the surrogate." </w:t>
      </w:r>
      <w:r w:rsidRPr="00907967">
        <w:rPr>
          <w:noProof/>
          <w:u w:val="single"/>
        </w:rPr>
        <w:t>BMJ</w:t>
      </w:r>
      <w:r w:rsidRPr="00907967">
        <w:rPr>
          <w:noProof/>
        </w:rPr>
        <w:t xml:space="preserve"> </w:t>
      </w:r>
      <w:r w:rsidRPr="00907967">
        <w:rPr>
          <w:b/>
          <w:noProof/>
        </w:rPr>
        <w:t>343</w:t>
      </w:r>
      <w:r w:rsidRPr="00907967">
        <w:rPr>
          <w:noProof/>
        </w:rPr>
        <w:t>.</w:t>
      </w:r>
    </w:p>
    <w:p w14:paraId="303D46D4" w14:textId="3D2B2BDB" w:rsidR="00D71B6E" w:rsidRDefault="00BE0CB9" w:rsidP="00907967">
      <w:r>
        <w:fldChar w:fldCharType="end"/>
      </w:r>
    </w:p>
    <w:sectPr w:rsidR="00D71B6E" w:rsidSect="0063089E">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83710"/>
    <w:rsid w:val="00120CD9"/>
    <w:rsid w:val="0017568B"/>
    <w:rsid w:val="00183710"/>
    <w:rsid w:val="0024071D"/>
    <w:rsid w:val="00255957"/>
    <w:rsid w:val="002A53FC"/>
    <w:rsid w:val="0031275B"/>
    <w:rsid w:val="003D5F99"/>
    <w:rsid w:val="0040328E"/>
    <w:rsid w:val="00475641"/>
    <w:rsid w:val="00574D5A"/>
    <w:rsid w:val="0063089E"/>
    <w:rsid w:val="00907967"/>
    <w:rsid w:val="00BE0CB9"/>
    <w:rsid w:val="00C0350F"/>
    <w:rsid w:val="00D71B6E"/>
    <w:rsid w:val="00E237D1"/>
    <w:rsid w:val="00E4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B9BD"/>
  <w15:chartTrackingRefBased/>
  <w15:docId w15:val="{F782C589-F7BF-49A9-9279-5E19DB6A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67"/>
    <w:pPr>
      <w:spacing w:before="100" w:beforeAutospacing="1" w:after="100" w:afterAutospacing="1" w:line="276" w:lineRule="auto"/>
    </w:pPr>
    <w:rPr>
      <w:rFonts w:ascii="Times New Roman" w:hAnsi="Times New Roman"/>
      <w:sz w:val="24"/>
    </w:rPr>
  </w:style>
  <w:style w:type="paragraph" w:styleId="Heading1">
    <w:name w:val="heading 1"/>
    <w:basedOn w:val="Normal"/>
    <w:next w:val="Normal"/>
    <w:link w:val="Heading1Char"/>
    <w:uiPriority w:val="9"/>
    <w:qFormat/>
    <w:rsid w:val="00183710"/>
    <w:pPr>
      <w:keepNext/>
      <w:keepLines/>
      <w:spacing w:before="240" w:after="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183710"/>
    <w:pPr>
      <w:keepNext/>
      <w:keepLines/>
      <w:spacing w:before="40" w:after="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183710"/>
    <w:pPr>
      <w:keepNext/>
      <w:keepLines/>
      <w:spacing w:before="40" w:after="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10"/>
    <w:rPr>
      <w:rFonts w:ascii="Times New Roman" w:eastAsiaTheme="majorEastAsia" w:hAnsi="Times New Roman" w:cstheme="majorBidi"/>
      <w:b/>
      <w:color w:val="1F3864" w:themeColor="accent1" w:themeShade="80"/>
      <w:sz w:val="32"/>
      <w:szCs w:val="32"/>
    </w:rPr>
  </w:style>
  <w:style w:type="character" w:customStyle="1" w:styleId="Heading2Char">
    <w:name w:val="Heading 2 Char"/>
    <w:basedOn w:val="DefaultParagraphFont"/>
    <w:link w:val="Heading2"/>
    <w:uiPriority w:val="9"/>
    <w:rsid w:val="00183710"/>
    <w:rPr>
      <w:rFonts w:ascii="Times New Roman" w:eastAsiaTheme="majorEastAsia" w:hAnsi="Times New Roman" w:cstheme="majorBidi"/>
      <w:b/>
      <w:color w:val="1F3864" w:themeColor="accent1" w:themeShade="80"/>
      <w:sz w:val="28"/>
      <w:szCs w:val="26"/>
    </w:rPr>
  </w:style>
  <w:style w:type="character" w:customStyle="1" w:styleId="Heading3Char">
    <w:name w:val="Heading 3 Char"/>
    <w:basedOn w:val="DefaultParagraphFont"/>
    <w:link w:val="Heading3"/>
    <w:uiPriority w:val="9"/>
    <w:rsid w:val="00183710"/>
    <w:rPr>
      <w:rFonts w:ascii="Times New Roman" w:eastAsiaTheme="majorEastAsia" w:hAnsi="Times New Roman" w:cstheme="majorBidi"/>
      <w:b/>
      <w:color w:val="2F5496" w:themeColor="accent1" w:themeShade="BF"/>
      <w:sz w:val="24"/>
      <w:szCs w:val="24"/>
    </w:rPr>
  </w:style>
  <w:style w:type="character" w:styleId="LineNumber">
    <w:name w:val="line number"/>
    <w:basedOn w:val="DefaultParagraphFont"/>
    <w:uiPriority w:val="99"/>
    <w:semiHidden/>
    <w:unhideWhenUsed/>
    <w:rsid w:val="00BE0CB9"/>
  </w:style>
  <w:style w:type="paragraph" w:styleId="BalloonText">
    <w:name w:val="Balloon Text"/>
    <w:basedOn w:val="Normal"/>
    <w:link w:val="BalloonTextChar"/>
    <w:uiPriority w:val="99"/>
    <w:semiHidden/>
    <w:unhideWhenUsed/>
    <w:rsid w:val="00BE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9"/>
    <w:rPr>
      <w:rFonts w:ascii="Segoe UI" w:hAnsi="Segoe UI" w:cs="Segoe UI"/>
      <w:sz w:val="18"/>
      <w:szCs w:val="18"/>
    </w:rPr>
  </w:style>
  <w:style w:type="paragraph" w:customStyle="1" w:styleId="EndNoteBibliographyTitle">
    <w:name w:val="EndNote Bibliography Title"/>
    <w:basedOn w:val="Normal"/>
    <w:link w:val="EndNoteBibliographyTitleChar"/>
    <w:rsid w:val="00BE0CB9"/>
    <w:pPr>
      <w:spacing w:after="0"/>
      <w:jc w:val="center"/>
    </w:pPr>
    <w:rPr>
      <w:rFonts w:cs="Times New Roman"/>
      <w:noProof/>
      <w:sz w:val="22"/>
      <w:lang w:val="en-US"/>
    </w:rPr>
  </w:style>
  <w:style w:type="character" w:customStyle="1" w:styleId="EndNoteBibliographyTitleChar">
    <w:name w:val="EndNote Bibliography Title Char"/>
    <w:basedOn w:val="Heading1Char"/>
    <w:link w:val="EndNoteBibliographyTitle"/>
    <w:rsid w:val="00BE0CB9"/>
    <w:rPr>
      <w:rFonts w:ascii="Times New Roman" w:eastAsiaTheme="majorEastAsia" w:hAnsi="Times New Roman" w:cs="Times New Roman"/>
      <w:b w:val="0"/>
      <w:noProof/>
      <w:color w:val="1F3864" w:themeColor="accent1" w:themeShade="80"/>
      <w:sz w:val="32"/>
      <w:szCs w:val="32"/>
      <w:lang w:val="en-US"/>
    </w:rPr>
  </w:style>
  <w:style w:type="paragraph" w:customStyle="1" w:styleId="EndNoteBibliography">
    <w:name w:val="EndNote Bibliography"/>
    <w:basedOn w:val="Normal"/>
    <w:link w:val="EndNoteBibliographyChar"/>
    <w:rsid w:val="00BE0CB9"/>
    <w:pPr>
      <w:spacing w:line="240" w:lineRule="auto"/>
    </w:pPr>
    <w:rPr>
      <w:rFonts w:cs="Times New Roman"/>
      <w:noProof/>
      <w:sz w:val="22"/>
      <w:lang w:val="en-US"/>
    </w:rPr>
  </w:style>
  <w:style w:type="character" w:customStyle="1" w:styleId="EndNoteBibliographyChar">
    <w:name w:val="EndNote Bibliography Char"/>
    <w:basedOn w:val="Heading1Char"/>
    <w:link w:val="EndNoteBibliography"/>
    <w:rsid w:val="00BE0CB9"/>
    <w:rPr>
      <w:rFonts w:ascii="Times New Roman" w:eastAsiaTheme="majorEastAsia" w:hAnsi="Times New Roman" w:cs="Times New Roman"/>
      <w:b w:val="0"/>
      <w:noProof/>
      <w:color w:val="1F3864" w:themeColor="accent1" w:themeShade="80"/>
      <w:sz w:val="32"/>
      <w:szCs w:val="32"/>
      <w:lang w:val="en-US"/>
    </w:rPr>
  </w:style>
  <w:style w:type="character" w:styleId="Hyperlink">
    <w:name w:val="Hyperlink"/>
    <w:basedOn w:val="DefaultParagraphFont"/>
    <w:uiPriority w:val="99"/>
    <w:unhideWhenUsed/>
    <w:rsid w:val="00BE0CB9"/>
    <w:rPr>
      <w:color w:val="0563C1" w:themeColor="hyperlink"/>
      <w:u w:val="single"/>
    </w:rPr>
  </w:style>
  <w:style w:type="character" w:styleId="UnresolvedMention">
    <w:name w:val="Unresolved Mention"/>
    <w:basedOn w:val="DefaultParagraphFont"/>
    <w:uiPriority w:val="99"/>
    <w:semiHidden/>
    <w:unhideWhenUsed/>
    <w:rsid w:val="00BE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books/NBK198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4112</Words>
  <Characters>23444</Characters>
  <Application>Microsoft Office Word</Application>
  <DocSecurity>0</DocSecurity>
  <Lines>195</Lines>
  <Paragraphs>55</Paragraphs>
  <ScaleCrop>false</ScaleCrop>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KurinchiSelvan Gurusamy</dc:creator>
  <cp:keywords/>
  <dc:description/>
  <cp:lastModifiedBy>KurinchiSelvan Gurusamy</cp:lastModifiedBy>
  <cp:revision>17</cp:revision>
  <dcterms:created xsi:type="dcterms:W3CDTF">2020-06-05T07:26:00Z</dcterms:created>
  <dcterms:modified xsi:type="dcterms:W3CDTF">2021-01-09T10:39:00Z</dcterms:modified>
</cp:coreProperties>
</file>